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455BBB95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EA592E">
        <w:rPr>
          <w:rFonts w:ascii="Arial" w:hAnsi="Arial" w:cs="Arial"/>
        </w:rPr>
        <w:t>21</w:t>
      </w:r>
      <w:r w:rsidRPr="00E51B9B">
        <w:rPr>
          <w:rFonts w:ascii="Arial" w:hAnsi="Arial" w:cs="Arial"/>
        </w:rPr>
        <w:t>.202</w:t>
      </w:r>
      <w:r w:rsidR="00905BB4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74C21ED6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EA592E">
        <w:rPr>
          <w:rFonts w:ascii="Arial" w:hAnsi="Arial" w:cs="Arial"/>
          <w:b/>
          <w:sz w:val="28"/>
          <w:szCs w:val="28"/>
        </w:rPr>
        <w:t>21</w:t>
      </w:r>
      <w:r w:rsidR="00905BB4">
        <w:rPr>
          <w:rFonts w:ascii="Arial" w:hAnsi="Arial" w:cs="Arial"/>
          <w:b/>
          <w:sz w:val="28"/>
          <w:szCs w:val="28"/>
        </w:rPr>
        <w:t>/2024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54154A55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EA592E">
        <w:rPr>
          <w:rFonts w:ascii="Arial" w:hAnsi="Arial" w:cs="Arial"/>
          <w:sz w:val="24"/>
        </w:rPr>
        <w:t>7 lutego</w:t>
      </w:r>
      <w:r w:rsidR="00905BB4">
        <w:rPr>
          <w:rFonts w:ascii="Arial" w:hAnsi="Arial" w:cs="Arial"/>
          <w:sz w:val="24"/>
        </w:rPr>
        <w:t xml:space="preserve"> 2024</w:t>
      </w:r>
      <w:r w:rsidRPr="00E51B9B">
        <w:rPr>
          <w:rFonts w:ascii="Arial" w:hAnsi="Arial" w:cs="Arial"/>
          <w:sz w:val="24"/>
        </w:rPr>
        <w:t xml:space="preserve">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5943F80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</w:t>
      </w:r>
      <w:r w:rsidR="00905BB4">
        <w:rPr>
          <w:rFonts w:ascii="Arial" w:hAnsi="Arial" w:cs="Arial"/>
          <w:b/>
          <w:bCs/>
        </w:rPr>
        <w:t>4</w:t>
      </w:r>
      <w:r w:rsidRPr="00E51B9B">
        <w:rPr>
          <w:rFonts w:ascii="Arial" w:hAnsi="Arial" w:cs="Arial"/>
          <w:b/>
          <w:bCs/>
        </w:rPr>
        <w:t xml:space="preserve"> rok.</w:t>
      </w:r>
    </w:p>
    <w:p w14:paraId="5287B5DE" w14:textId="77777777" w:rsidR="00E51B9B" w:rsidRPr="00EA592E" w:rsidRDefault="00E51B9B" w:rsidP="00EA592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4156454" w14:textId="3D83E376" w:rsidR="00EA592E" w:rsidRPr="00EA592E" w:rsidRDefault="00EA592E" w:rsidP="00EA592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A592E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1429, poz. 1641, poz. 1693, poz. 1872), § 17 i § 18 Uchwały Nr LXXI/603/2023 Rady Miejskiej w Sulejowie z dnia 19 grudnia 2023 roku w sprawie uchwalenia budżetu gminy Sulejów na 2024 rok, zarządzam co następuje:</w:t>
      </w:r>
    </w:p>
    <w:p w14:paraId="13B6A9C2" w14:textId="77777777" w:rsidR="00EA592E" w:rsidRPr="00EA592E" w:rsidRDefault="00EA592E" w:rsidP="00EA592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19B36A4" w14:textId="0FB660FD" w:rsidR="00EA592E" w:rsidRPr="00EA592E" w:rsidRDefault="00EA592E" w:rsidP="00EA592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EA592E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</w:t>
      </w:r>
      <w:r w:rsidRPr="00EA592E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1A8C1024" w14:textId="77777777" w:rsidR="00EA592E" w:rsidRPr="00EA592E" w:rsidRDefault="00EA592E" w:rsidP="00EA592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0A53F166" w14:textId="77777777" w:rsidR="00EA592E" w:rsidRPr="00EA592E" w:rsidRDefault="00EA592E" w:rsidP="00EA592E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516091FF" w14:textId="1BC4064B" w:rsidR="00EA592E" w:rsidRPr="00EA592E" w:rsidRDefault="00EA592E" w:rsidP="00EA592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EA592E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592E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00CDC978" w14:textId="77777777" w:rsidR="00EA592E" w:rsidRPr="00EA592E" w:rsidRDefault="00EA592E" w:rsidP="00EA592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71B6AE4C" w14:textId="77777777" w:rsidR="00EA592E" w:rsidRPr="00EA592E" w:rsidRDefault="00EA592E" w:rsidP="00EA592E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0849922D" w14:textId="021616C2" w:rsidR="00EA592E" w:rsidRPr="00EA592E" w:rsidRDefault="00EA592E" w:rsidP="00EA592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A592E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592E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09796B0B" w14:textId="09DAA62E" w:rsidR="00EA592E" w:rsidRPr="00EA592E" w:rsidRDefault="00EA592E" w:rsidP="00EA592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A592E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592E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2.</w:t>
      </w:r>
    </w:p>
    <w:p w14:paraId="120C3C4C" w14:textId="5B3385AC" w:rsidR="00EA592E" w:rsidRPr="00EA592E" w:rsidRDefault="00EA592E" w:rsidP="00EA592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A592E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592E">
        <w:rPr>
          <w:rFonts w:ascii="Arial" w:hAnsi="Arial" w:cs="Arial"/>
          <w:sz w:val="24"/>
          <w:szCs w:val="24"/>
        </w:rPr>
        <w:t>Plan budżetu gminy Sulejów po zmianach wynosi:</w:t>
      </w:r>
    </w:p>
    <w:p w14:paraId="7A71E508" w14:textId="77777777" w:rsidR="00EA592E" w:rsidRPr="00EA592E" w:rsidRDefault="00EA592E" w:rsidP="00EA592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dochody 93.544.897,87 zł, w tym:</w:t>
      </w:r>
    </w:p>
    <w:p w14:paraId="7E6C514C" w14:textId="77777777" w:rsidR="00EA592E" w:rsidRPr="00EA592E" w:rsidRDefault="00EA592E" w:rsidP="00EA592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dochody bieżące 83.102.863,87 zł,</w:t>
      </w:r>
    </w:p>
    <w:p w14:paraId="1C77D84F" w14:textId="77777777" w:rsidR="00EA592E" w:rsidRPr="00EA592E" w:rsidRDefault="00EA592E" w:rsidP="00EA592E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dochody majątkowe 10.442.034,00 zł;</w:t>
      </w:r>
    </w:p>
    <w:p w14:paraId="3CB20061" w14:textId="77777777" w:rsidR="00EA592E" w:rsidRPr="00EA592E" w:rsidRDefault="00EA592E" w:rsidP="00EA592E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wydatki 100.483.797,78 zł, w tym:</w:t>
      </w:r>
    </w:p>
    <w:p w14:paraId="13C54D20" w14:textId="77777777" w:rsidR="00EA592E" w:rsidRPr="00EA592E" w:rsidRDefault="00EA592E" w:rsidP="00EA592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wydatki bieżące 80.081.363,87 zł,</w:t>
      </w:r>
    </w:p>
    <w:p w14:paraId="132C8DD5" w14:textId="77777777" w:rsidR="00EA592E" w:rsidRPr="00EA592E" w:rsidRDefault="00EA592E" w:rsidP="00EA592E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A592E">
        <w:rPr>
          <w:rFonts w:ascii="Arial" w:hAnsi="Arial" w:cs="Arial"/>
          <w:bCs/>
          <w:sz w:val="24"/>
          <w:szCs w:val="24"/>
        </w:rPr>
        <w:t>wydatki majątkowe 20.402.433,91 zł.</w:t>
      </w:r>
    </w:p>
    <w:p w14:paraId="2F49E99D" w14:textId="13EA6A4D" w:rsidR="00EA592E" w:rsidRPr="00EA592E" w:rsidRDefault="00EA592E" w:rsidP="00EA592E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A592E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592E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33A92A27" w14:textId="77777777" w:rsidR="00EA592E" w:rsidRPr="00EA592E" w:rsidRDefault="00EA592E" w:rsidP="00EA592E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7E172D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315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5E44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172D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5BB4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84489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10E60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A592E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40</cp:revision>
  <cp:lastPrinted>2023-02-02T06:26:00Z</cp:lastPrinted>
  <dcterms:created xsi:type="dcterms:W3CDTF">2023-02-02T08:06:00Z</dcterms:created>
  <dcterms:modified xsi:type="dcterms:W3CDTF">2024-02-09T11:31:00Z</dcterms:modified>
</cp:coreProperties>
</file>