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79" w:rsidRDefault="00B17E79" w:rsidP="00B17E79">
      <w:r>
        <w:t>BURMISTRZ SULEJOWA</w:t>
      </w:r>
    </w:p>
    <w:p w:rsidR="00B17E79" w:rsidRDefault="00B17E79" w:rsidP="00B17E79">
      <w:r>
        <w:t>PP.6730.226.2021</w:t>
      </w:r>
    </w:p>
    <w:p w:rsidR="00B17E79" w:rsidRDefault="00B17E79" w:rsidP="00B17E79">
      <w:pPr>
        <w:spacing w:after="120"/>
      </w:pPr>
      <w:r>
        <w:t>Sulejów, dnia 26.10.2022 r.</w:t>
      </w:r>
    </w:p>
    <w:p w:rsidR="00B17E79" w:rsidRDefault="00B17E79" w:rsidP="00B17E79">
      <w:pPr>
        <w:pStyle w:val="Nagwek1"/>
      </w:pPr>
      <w:r>
        <w:t>DECYZJA</w:t>
      </w:r>
    </w:p>
    <w:p w:rsidR="00B17E79" w:rsidRDefault="00B17E79" w:rsidP="00B17E79">
      <w:pPr>
        <w:pStyle w:val="Nagwek1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o warunkach zabudowy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 xml:space="preserve">Na podstawie art. 4 ust. 2 pkt 2, art. 59 ust. 1, art. 60, art. 61 i art. 64 ust.1 ustawy z dnia 27 marca 2003 r. o planowaniu i zagospodarowaniu przestrzennym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741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>
        <w:rPr>
          <w:sz w:val="22"/>
        </w:rPr>
        <w:t xml:space="preserve"> oraz art. 104, art. 107 ustawy z dnia 14 czerwca 1960 r. Kodeks postępowania administracyjnego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735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</w:t>
      </w:r>
      <w:r>
        <w:rPr>
          <w:sz w:val="22"/>
        </w:rPr>
        <w:t>po rozpatrzeniu wniosku z dnia 11.10.2021 r. (uzupełnionego dnia 5.11.2021 r.) który złożył:</w:t>
      </w:r>
    </w:p>
    <w:p w:rsidR="00B17E79" w:rsidRDefault="00B17E79" w:rsidP="00B17E79">
      <w:pPr>
        <w:rPr>
          <w:b/>
          <w:sz w:val="22"/>
        </w:rPr>
      </w:pPr>
      <w:proofErr w:type="spellStart"/>
      <w:r>
        <w:rPr>
          <w:b/>
          <w:sz w:val="22"/>
        </w:rPr>
        <w:t>Wiento</w:t>
      </w:r>
      <w:proofErr w:type="spellEnd"/>
      <w:r>
        <w:rPr>
          <w:b/>
          <w:sz w:val="22"/>
        </w:rPr>
        <w:t xml:space="preserve"> Energia Sp. z o.o.</w:t>
      </w:r>
    </w:p>
    <w:p w:rsidR="00B17E79" w:rsidRDefault="00B17E79" w:rsidP="00B17E79">
      <w:pPr>
        <w:rPr>
          <w:b/>
          <w:sz w:val="22"/>
        </w:rPr>
      </w:pPr>
      <w:r>
        <w:rPr>
          <w:b/>
          <w:sz w:val="22"/>
        </w:rPr>
        <w:t>30-703 Kraków, ul. Jana Dekerta 18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na inwestycję: budowie</w:t>
      </w:r>
      <w:r>
        <w:rPr>
          <w:b/>
          <w:sz w:val="22"/>
        </w:rPr>
        <w:t xml:space="preserve"> </w:t>
      </w:r>
      <w:r>
        <w:rPr>
          <w:sz w:val="22"/>
        </w:rPr>
        <w:t>farmy fotowoltaicznej o mocy do 1MW wraz z infrastrukturą techniczną – instalacja 3A,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przewidzianą do realizacji: na terenie części działek o numerze ewidencyjnym 102, 101, 99, 96 (obręb 0011 Sulejów) położonych w Sulejowie, gm. Sulejów.</w:t>
      </w:r>
    </w:p>
    <w:p w:rsidR="00B17E79" w:rsidRDefault="00B17E79" w:rsidP="00B17E79">
      <w:pPr>
        <w:pStyle w:val="Nagwek1"/>
      </w:pPr>
      <w:r>
        <w:t>USTALAM</w:t>
      </w:r>
    </w:p>
    <w:p w:rsidR="00B17E79" w:rsidRDefault="00B17E79" w:rsidP="00B17E79">
      <w:pPr>
        <w:pStyle w:val="Nagwek1"/>
      </w:pPr>
      <w:r>
        <w:t>WARUNKI ZABUDOWY</w:t>
      </w:r>
    </w:p>
    <w:p w:rsidR="00B17E79" w:rsidRDefault="00B17E79" w:rsidP="00B17E79">
      <w:pPr>
        <w:rPr>
          <w:sz w:val="22"/>
        </w:rPr>
      </w:pPr>
      <w:r>
        <w:rPr>
          <w:b/>
          <w:sz w:val="22"/>
        </w:rPr>
        <w:t xml:space="preserve">Rodzaj inwestycji: </w:t>
      </w:r>
      <w:r>
        <w:rPr>
          <w:sz w:val="22"/>
        </w:rPr>
        <w:t>budowa</w:t>
      </w:r>
      <w:r>
        <w:rPr>
          <w:b/>
          <w:sz w:val="22"/>
        </w:rPr>
        <w:t xml:space="preserve"> </w:t>
      </w:r>
      <w:r>
        <w:rPr>
          <w:sz w:val="22"/>
        </w:rPr>
        <w:t>farmy fotowoltaicznej o mocy do 1MW wraz z infrastrukturą techniczną</w:t>
      </w:r>
      <w:r>
        <w:rPr>
          <w:b/>
          <w:sz w:val="22"/>
        </w:rPr>
        <w:t xml:space="preserve"> </w:t>
      </w:r>
      <w:r>
        <w:rPr>
          <w:sz w:val="22"/>
        </w:rPr>
        <w:t>– instalacja 3A.</w:t>
      </w:r>
    </w:p>
    <w:p w:rsidR="00B17E79" w:rsidRDefault="00B17E79" w:rsidP="00B17E79">
      <w:pPr>
        <w:spacing w:after="120"/>
        <w:rPr>
          <w:sz w:val="22"/>
        </w:rPr>
      </w:pPr>
      <w:r>
        <w:rPr>
          <w:b/>
          <w:sz w:val="22"/>
        </w:rPr>
        <w:t xml:space="preserve">Lokalizacja inwestycji: </w:t>
      </w:r>
      <w:r>
        <w:rPr>
          <w:sz w:val="22"/>
        </w:rPr>
        <w:t>na terenie części działek o numerze ewidencyjnym 102, 101, 99, 96 (obręb 0011 Sulejów) położonych w Sulejowie, gm. Sulejów.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sz w:val="22"/>
        </w:rPr>
      </w:pPr>
      <w:r>
        <w:rPr>
          <w:b/>
          <w:sz w:val="22"/>
        </w:rPr>
        <w:t xml:space="preserve">Rodzaj zabudowy: </w:t>
      </w:r>
      <w:r>
        <w:rPr>
          <w:sz w:val="22"/>
        </w:rPr>
        <w:t>instalacja fotowoltaiczna.</w:t>
      </w:r>
    </w:p>
    <w:p w:rsidR="00B17E79" w:rsidRDefault="00B17E79" w:rsidP="00B17E79">
      <w:pPr>
        <w:rPr>
          <w:b/>
          <w:sz w:val="22"/>
        </w:rPr>
      </w:pPr>
      <w:r>
        <w:rPr>
          <w:b/>
          <w:sz w:val="22"/>
        </w:rPr>
        <w:t>funkcja zabudowy i zagospodarowania terenu:</w:t>
      </w:r>
    </w:p>
    <w:p w:rsidR="00B17E79" w:rsidRDefault="00B17E79" w:rsidP="00B17E79">
      <w:pPr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sposób użytkowania obiektów budowlanych - zgodnie z przeznaczeniem;</w:t>
      </w:r>
    </w:p>
    <w:p w:rsidR="00B17E79" w:rsidRDefault="00B17E79" w:rsidP="00B17E79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22"/>
        </w:rPr>
      </w:pPr>
      <w:r>
        <w:rPr>
          <w:sz w:val="22"/>
        </w:rPr>
        <w:t>sposób zagospodarowania terenu</w:t>
      </w:r>
      <w:r>
        <w:rPr>
          <w:b/>
          <w:sz w:val="22"/>
        </w:rPr>
        <w:t xml:space="preserve"> –</w:t>
      </w:r>
      <w:r>
        <w:rPr>
          <w:sz w:val="22"/>
        </w:rPr>
        <w:t xml:space="preserve"> panele fotowoltaiczne, konstrukcja montażowa (stoły) pod panele fotowoltaiczne, inwertery (falowniki), kontenerowa stacja transformatorowa, linie kablowe, ogrodzenie z bramą, system monitoringu.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Ustalenia – warunki zabudowy i szczegółowe zasady zagospodarowania terenu, wynikające z przepisów odrębnych:</w:t>
      </w:r>
    </w:p>
    <w:p w:rsidR="00B17E79" w:rsidRDefault="00B17E79" w:rsidP="00B17E79">
      <w:pPr>
        <w:numPr>
          <w:ilvl w:val="1"/>
          <w:numId w:val="3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Warunki i wymagania ochrony i kształtowania ładu przestrzennego: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lastRenderedPageBreak/>
        <w:t>należy zachować warunki wynikające z rozporządzenia Ministra Infrastruktury z dnia 12 kwietnia 2002 r. w sprawie warunków technicznych jakim powinny odpowiadać budynki i ich usytuowanie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1065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linia zabudowy – nie ustala się z uwagi na lokalizację terenu inwestycji względem drogi publicznej,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color w:val="000000"/>
          <w:sz w:val="22"/>
        </w:rPr>
        <w:t>projektuje się farmę fotowoltaiczną</w:t>
      </w:r>
      <w:r>
        <w:rPr>
          <w:sz w:val="22"/>
        </w:rPr>
        <w:t xml:space="preserve"> o mocy do 1,0 MW wraz z niezbędną infrastrukturą techniczną,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forma architektoniczna – nie dotyczy. Montaż gotowych elementów typowych dostarczonych przez producenta. Łączna wysokość farmy fotowoltaicznej (konstrukcji wsporczej pod panele fotowoltaiczne) nie przekroczy 4,0 m n.p.t.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</w:rPr>
        <w:t>wielkość powierzchni zabudowy w stosunku do powierzchni terenu inwestycji – do 0,60 (powierzchnia terenu ogrodzonego pod inwestycję wyniesie maksymalnie 1,05 ha),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szerokość elewacji frontowej – nie dotyczy,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wysokość górnej krawędzi elewacji frontowej (mierzonej od średniego poziomu terenu przed głównym wejściem do budynku) – nie dotyczy,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geometria dachów zabudowy – nie dotyczy,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projektowana farma fotowoltaiczna pozyskiwać będzie energię elektryczną ze źródła odnawialnego,</w:t>
      </w:r>
    </w:p>
    <w:p w:rsidR="00B17E79" w:rsidRDefault="00B17E79" w:rsidP="00B17E79">
      <w:pPr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w skład farmy fotowoltaicznej wchodzą następujące urządzenia i obiekty budowlane: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panele fotowoltaiczne w ilości do 3700 szt. o łącznej mocy do 1,0 MW,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moc pojedynczego panelu: od 250 W do 1000 W,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falowniki (</w:t>
      </w:r>
      <w:proofErr w:type="spellStart"/>
      <w:r>
        <w:rPr>
          <w:color w:val="000000"/>
          <w:sz w:val="22"/>
        </w:rPr>
        <w:t>inwentery</w:t>
      </w:r>
      <w:proofErr w:type="spellEnd"/>
      <w:r>
        <w:rPr>
          <w:color w:val="000000"/>
          <w:sz w:val="22"/>
        </w:rPr>
        <w:t>) przekształcające prąd stały na prąd zmienny,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kontenerowa stacja (transformatorowo-kontrolna), wymiary stacji: szerokość elewacji frontowej do 7,0 m, powierzchnia zabudowy do 50,0 m</w:t>
      </w:r>
      <w:r>
        <w:rPr>
          <w:color w:val="000000"/>
          <w:sz w:val="22"/>
          <w:vertAlign w:val="superscript"/>
        </w:rPr>
        <w:t>2</w:t>
      </w:r>
      <w:r>
        <w:rPr>
          <w:color w:val="000000"/>
          <w:sz w:val="22"/>
        </w:rPr>
        <w:t xml:space="preserve">, wysokość do 3,5 m n.p.t., dach płaski bądź jedno-, dwuspadowy o nachyleniu połaci od </w:t>
      </w:r>
      <w:r>
        <w:rPr>
          <w:sz w:val="22"/>
        </w:rPr>
        <w:t>0-15</w:t>
      </w:r>
      <w:r>
        <w:rPr>
          <w:sz w:val="22"/>
          <w:vertAlign w:val="superscript"/>
        </w:rPr>
        <w:t>o</w:t>
      </w:r>
      <w:r>
        <w:rPr>
          <w:sz w:val="22"/>
        </w:rPr>
        <w:t>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sz w:val="22"/>
        </w:rPr>
        <w:t xml:space="preserve">kable solarne, linie kablowe </w:t>
      </w:r>
      <w:proofErr w:type="spellStart"/>
      <w:r>
        <w:rPr>
          <w:sz w:val="22"/>
        </w:rPr>
        <w:t>nN</w:t>
      </w:r>
      <w:proofErr w:type="spellEnd"/>
      <w:r>
        <w:rPr>
          <w:sz w:val="22"/>
        </w:rPr>
        <w:t>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sz w:val="22"/>
        </w:rPr>
        <w:t xml:space="preserve">zabudowa układu pomiarowo-rozliczeniowego na nacięciu SN oraz </w:t>
      </w:r>
      <w:proofErr w:type="spellStart"/>
      <w:r>
        <w:rPr>
          <w:sz w:val="22"/>
        </w:rPr>
        <w:t>nN</w:t>
      </w:r>
      <w:proofErr w:type="spellEnd"/>
      <w:r>
        <w:rPr>
          <w:sz w:val="22"/>
        </w:rPr>
        <w:t>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  <w:sz w:val="22"/>
        </w:rPr>
      </w:pPr>
      <w:r>
        <w:rPr>
          <w:sz w:val="22"/>
        </w:rPr>
        <w:t>montaż systemu monitoringu oraz pozostałego oprzyrządowania,</w:t>
      </w:r>
    </w:p>
    <w:p w:rsidR="00B17E79" w:rsidRDefault="00B17E79" w:rsidP="00B17E79">
      <w:pPr>
        <w:numPr>
          <w:ilvl w:val="0"/>
          <w:numId w:val="5"/>
        </w:numPr>
        <w:tabs>
          <w:tab w:val="left" w:pos="284"/>
        </w:tabs>
        <w:spacing w:after="120"/>
        <w:ind w:left="0" w:firstLine="0"/>
        <w:rPr>
          <w:color w:val="000000"/>
          <w:sz w:val="22"/>
        </w:rPr>
      </w:pPr>
      <w:r>
        <w:rPr>
          <w:sz w:val="22"/>
        </w:rPr>
        <w:t>ogrodzenie siatkowe wraz z bramę o wysokości do 2,2 m.</w:t>
      </w:r>
    </w:p>
    <w:p w:rsidR="00B17E79" w:rsidRDefault="00B17E79" w:rsidP="00B17E79">
      <w:pPr>
        <w:numPr>
          <w:ilvl w:val="1"/>
          <w:numId w:val="3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Warunki ochrony środowiska, zdrowia i życia ludzi, przyrody i krajobrazu: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planowana inwestycja jest przedsięwzięciem mogącym znacząco potencjalnie oddziaływać na środowisko - zgodnie z rozporządzeniem Rady Ministrów  z dnia 9 listopada 2010 r. w sprawie przedsięwzięć mogących znacząco oddziaływać na środowisko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2019 r. poz. 1839). </w:t>
      </w:r>
      <w:r>
        <w:rPr>
          <w:sz w:val="22"/>
        </w:rPr>
        <w:lastRenderedPageBreak/>
        <w:t>Realizacja inwestycji zgodnie z decyzją o środowiskowych uwarunkowaniach z dnia 8 czerwca 2021 r. (IZOŚ.6220.4.2020) wydanej przez Burmistrza Sulejowa.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planowana inwestycja winna być zgodna z ustawą z dnia 27 kwietnia 2001 r. Prawo ochrony środowiska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1973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sz w:val="22"/>
        </w:rPr>
        <w:t>), z ustawą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2373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sz w:val="22"/>
        </w:rPr>
        <w:t>) i z ustawą z dnia 16 kwietnia 2004 r. o ochronie przyrody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2021 r. poz. 1098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w przypadku kolizji istniejących drzew i krzewów z projektowaną inwestycją, jeśli na ich wycięcie lub przesadzenie wymagane jest oddzielne zezwolenie – zgodnie z wymogami z dnia 16 kwietnia 2004 r. o ochronie przyrody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1098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– z wnioskiem w tej sprawie należy wystąpić do właściwego organu,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 xml:space="preserve">planowana inwestycja winna być realizowana na zasadach przewidzianych w przepisach, w tym </w:t>
      </w:r>
      <w:proofErr w:type="spellStart"/>
      <w:r>
        <w:rPr>
          <w:sz w:val="22"/>
        </w:rPr>
        <w:t>techniczno</w:t>
      </w:r>
      <w:proofErr w:type="spellEnd"/>
      <w:r>
        <w:rPr>
          <w:sz w:val="22"/>
        </w:rPr>
        <w:t xml:space="preserve"> – budowlanych, zgodnie z art. 5 ustawy z dnia 7 lipca 1994r. – Prawo budowlane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2020 r. poz. 1333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1065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 a także zgodnie z innymi przepisami szczególnymi wynikającymi ze specyfikacji planowanej inwestycji i jej usytuowania,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przy realizacji inwestycji należy spełnić warunki wynikające z ustawy z dnia 20 lipca 2017 r. Prawo wodne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2021 r. poz. 2233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przyjęte rozwiązania projektowe winny gwarantować pełną ochronę gleby, wód podziemnych i atmosfery przed przedostawaniem się zanieczyszczeń powstających w trakcie realizacji i eksploatacji obiektu,</w:t>
      </w:r>
    </w:p>
    <w:p w:rsidR="00B17E79" w:rsidRDefault="00B17E79" w:rsidP="00B17E79">
      <w:pPr>
        <w:numPr>
          <w:ilvl w:val="0"/>
          <w:numId w:val="6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inwestycja </w:t>
      </w:r>
      <w:r>
        <w:rPr>
          <w:color w:val="000000"/>
          <w:sz w:val="22"/>
          <w:szCs w:val="22"/>
        </w:rPr>
        <w:t>realizowana będzie w granicach otuliny „Sulejowskiego Parku Krajobrazowego”,</w:t>
      </w:r>
    </w:p>
    <w:p w:rsidR="00B17E79" w:rsidRDefault="00B17E79" w:rsidP="00B17E79">
      <w:pPr>
        <w:spacing w:after="120"/>
        <w:rPr>
          <w:sz w:val="22"/>
          <w:szCs w:val="22"/>
        </w:rPr>
      </w:pPr>
      <w:r>
        <w:rPr>
          <w:sz w:val="22"/>
          <w:szCs w:val="22"/>
        </w:rPr>
        <w:t>teren inwestycji nie jest położony w obszarze Natura 2000.</w:t>
      </w:r>
    </w:p>
    <w:p w:rsidR="00B17E79" w:rsidRDefault="00B17E79" w:rsidP="00B17E79">
      <w:pPr>
        <w:numPr>
          <w:ilvl w:val="1"/>
          <w:numId w:val="3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Warunki i wymagania ochrony dziedzictwa kulturowego i zabytków oraz dóbr kultury współczesnej:</w:t>
      </w:r>
    </w:p>
    <w:p w:rsidR="00B17E79" w:rsidRDefault="00B17E79" w:rsidP="00B17E79">
      <w:pPr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Osoby prowadzące roboty budowlane i ziemne w razie ujawnienia przedmiotu, co do którego istnieje przypuszczenie, iż jest ona zabytkiem archeologicznym, są obowiązane przy użyciu dostępnych środków zabezpieczyć ten przedmiot i oznakować miejsce jego znalezienia oraz niezwłocznie zawiadomić o znalezieniu tego przedmiotu Wojewódzkiego Konserwatora Zabytków </w:t>
      </w:r>
      <w:r>
        <w:rPr>
          <w:sz w:val="22"/>
        </w:rPr>
        <w:t xml:space="preserve">(Łódzki </w:t>
      </w:r>
      <w:r>
        <w:rPr>
          <w:sz w:val="22"/>
        </w:rPr>
        <w:lastRenderedPageBreak/>
        <w:t>Wojewódzki Konserwator Zabytków – ul. Piotrkowska 99, 90-425 Łódź), a jeśli nie jest to możliwe Burmistrza Sulejowa.</w:t>
      </w:r>
    </w:p>
    <w:p w:rsidR="00B17E79" w:rsidRDefault="00B17E79" w:rsidP="00B17E79">
      <w:pPr>
        <w:spacing w:after="120"/>
        <w:rPr>
          <w:sz w:val="22"/>
          <w:szCs w:val="22"/>
        </w:rPr>
      </w:pPr>
      <w:r>
        <w:rPr>
          <w:sz w:val="22"/>
          <w:szCs w:val="22"/>
        </w:rPr>
        <w:t>Projektowane przedsięwzięcie nie może stwarzać zagrożenia dla zdrowia ludzi a także oddziaływać niekorzystnie na chronione obiekty dziedzictwa kulturowego.</w:t>
      </w:r>
    </w:p>
    <w:p w:rsidR="00B17E79" w:rsidRDefault="00B17E79" w:rsidP="00B17E79">
      <w:pPr>
        <w:numPr>
          <w:ilvl w:val="1"/>
          <w:numId w:val="3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Obsługa w zakresie infrastruktury technicznej i komunikacji: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realizacja infrastruktury technicznej i obsługi komunikacyjnej zgodnie z przepisami na warunkach zarządców sieci, dróg,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woda – nie dotyczy,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 xml:space="preserve">energia elektryczna – </w:t>
      </w:r>
      <w:r>
        <w:rPr>
          <w:sz w:val="22"/>
          <w:szCs w:val="22"/>
        </w:rPr>
        <w:t>przyłączenie przedsięwzięcia do sieci elektroenergetycznej i urządzeń na warunkach określonych przez gestora w Warunkach Technicznych Przyłączenia,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zaopatrzenie w energię cieplną – nie dotyczy,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odprowadzenie wód opadowych – powierzchniowe na terenie własnej nieruchomości,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odprowadzenie ścieków – nie dotyczy,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sposób gospodarowania odpadami – nie dotyczy,</w:t>
      </w:r>
    </w:p>
    <w:p w:rsidR="00B17E79" w:rsidRDefault="00B17E79" w:rsidP="00B17E79">
      <w:pPr>
        <w:numPr>
          <w:ilvl w:val="0"/>
          <w:numId w:val="7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obsługa komunikacyjna – z drogi wewnętrznej (ul. Polna) poprzez projektowany zjazd i przejazd przez działkę nr ewid. 102 (obręb 0011 Sulejów).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Na przebieg przyłączy infrastruktury technicznej przez działki nie stanowiące własności inwestora, należy uzyskać zgodę właściciela.</w:t>
      </w:r>
    </w:p>
    <w:p w:rsidR="00B17E79" w:rsidRDefault="00B17E79" w:rsidP="00B17E79">
      <w:pPr>
        <w:spacing w:after="120"/>
        <w:rPr>
          <w:sz w:val="22"/>
        </w:rPr>
      </w:pPr>
      <w:r>
        <w:rPr>
          <w:sz w:val="22"/>
        </w:rPr>
        <w:t>Lokalizacja przyłączy infrastruktury technicznej związanych z projektowanym obiektem, poza terenem w liniach rozgraniczających, jest zgodna z niniejszą decyzją pod warunkiem uzyskania stosownych uzgodnień, decyzji czy opinii wymaganych przepisami prawa.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Wymagania dotyczące ochrony interesów osób trzecich: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 xml:space="preserve">planowana inwestycja winna być realizowana na zasadach przewidzianych w przepisach, w tym </w:t>
      </w:r>
      <w:proofErr w:type="spellStart"/>
      <w:r>
        <w:rPr>
          <w:sz w:val="22"/>
        </w:rPr>
        <w:t>techniczno</w:t>
      </w:r>
      <w:proofErr w:type="spellEnd"/>
      <w:r>
        <w:rPr>
          <w:sz w:val="22"/>
        </w:rPr>
        <w:t xml:space="preserve"> – budowlanych, zgodnie z art. 5 ustawy z dnia 7 lipca 1994 r. – Prawo budowlane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2351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planowana inwestycja na etapie wykonywania i użytkowania nie może powodować ograniczenia użytkowania terenów sąsiednich, zgodnie z ich przeznaczeniem, poprzez ochronę przed:</w:t>
      </w:r>
    </w:p>
    <w:p w:rsidR="00B17E79" w:rsidRDefault="00B17E79" w:rsidP="00B17E79">
      <w:pPr>
        <w:numPr>
          <w:ilvl w:val="0"/>
          <w:numId w:val="9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pozbawienia:</w:t>
      </w:r>
    </w:p>
    <w:p w:rsidR="00B17E79" w:rsidRDefault="00B17E79" w:rsidP="00B17E79">
      <w:pPr>
        <w:numPr>
          <w:ilvl w:val="0"/>
          <w:numId w:val="10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dostępu do drogi publicznej,</w:t>
      </w:r>
    </w:p>
    <w:p w:rsidR="00B17E79" w:rsidRDefault="00B17E79" w:rsidP="00B17E79">
      <w:pPr>
        <w:numPr>
          <w:ilvl w:val="0"/>
          <w:numId w:val="10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możliwości korzystania z wody, kanalizacji, energii elektrycznej i cieplnej oraz środków łączności,</w:t>
      </w:r>
    </w:p>
    <w:p w:rsidR="00B17E79" w:rsidRDefault="00B17E79" w:rsidP="00B17E79">
      <w:pPr>
        <w:numPr>
          <w:ilvl w:val="0"/>
          <w:numId w:val="10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dostępu światła dziennego do pomieszczeń przeznaczonych na pobyt ludzi,</w:t>
      </w:r>
    </w:p>
    <w:p w:rsidR="00B17E79" w:rsidRDefault="00B17E79" w:rsidP="00B17E79">
      <w:pPr>
        <w:numPr>
          <w:ilvl w:val="0"/>
          <w:numId w:val="9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uciążliwościami powodowanymi przez hałas, wibracje, zakłócenia elektryczne i promieniowanie,</w:t>
      </w:r>
    </w:p>
    <w:p w:rsidR="00B17E79" w:rsidRDefault="00B17E79" w:rsidP="00B17E79">
      <w:pPr>
        <w:numPr>
          <w:ilvl w:val="0"/>
          <w:numId w:val="9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zanieczyszczeniem powietrza, wody i gleby.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lastRenderedPageBreak/>
        <w:t>w przypadku kolizji inwestycji z istniejącą infrastrukturą techniczną należy usunąć je w uzgodnieniu z właściwymi gestorami sieci,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na terenie inwestycji nie występują urządzenia melioracji wodnych,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 przypadku stwierdzenia na przedmiotowym obszarze urządzeń melioracji wodnych kolidujących z realizowaną inwestycją, inwestor zobowiązany jest we własnym zakresie do przebudowy urządzeń zgodnie z przepisami ustawy </w:t>
      </w:r>
      <w:r>
        <w:rPr>
          <w:sz w:val="22"/>
        </w:rPr>
        <w:t>z dnia 20 lipca 2017 r. Prawo wodne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2021 r. poz. 2233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rPr>
          <w:color w:val="000000"/>
          <w:sz w:val="22"/>
        </w:rPr>
      </w:pPr>
      <w:r>
        <w:rPr>
          <w:sz w:val="22"/>
          <w:szCs w:val="22"/>
        </w:rPr>
        <w:t>ustala się nakaz by wszelkie uciążliwości generowane przez farmę fotowoltaiczną zawierały się w granicach do których inwestor posiada tytuł prawny.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Ochrona obiektów budowlanych na terenach górniczych:</w:t>
      </w:r>
    </w:p>
    <w:p w:rsidR="00B17E79" w:rsidRDefault="00B17E79" w:rsidP="00B17E79">
      <w:pPr>
        <w:spacing w:after="120"/>
        <w:rPr>
          <w:sz w:val="22"/>
        </w:rPr>
      </w:pPr>
      <w:r>
        <w:rPr>
          <w:sz w:val="22"/>
        </w:rPr>
        <w:t>Nieruchomość objęta niniejszą decyzją, jest zlokalizowana poza terenami górniczymi, w związku z tym realizacja przedsięwzięcia inwestycyjnego nie podlega wymogom i uwarunkowaniom określonym w ustawie z dnia 9 czerwca 2011 r. Prawo geologiczne i górnicze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1420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Warunków wynikających z przepisów odrębnych.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1065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 a także zgodnie z innymi przepisami szczególnymi wynikającymi ze specyfikacji planowanej inwestycji i jej usytuowania.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Projekt budowlany winien spełniać warunki określone w:</w:t>
      </w:r>
    </w:p>
    <w:p w:rsidR="00B17E79" w:rsidRDefault="00B17E79" w:rsidP="00B17E79">
      <w:pPr>
        <w:numPr>
          <w:ilvl w:val="0"/>
          <w:numId w:val="11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ustawie z dnia 7 lipca1994r. – Prawo budowlane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2351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</w:t>
      </w:r>
    </w:p>
    <w:p w:rsidR="00B17E79" w:rsidRDefault="00B17E79" w:rsidP="00B17E79">
      <w:pPr>
        <w:numPr>
          <w:ilvl w:val="0"/>
          <w:numId w:val="11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ustawie z dnia 3 lutego 1995 r. o ochronie gruntów rolnych i leśnych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Dz. U. z 2021 r. poz. 1326),</w:t>
      </w:r>
    </w:p>
    <w:p w:rsidR="00B17E79" w:rsidRDefault="00B17E79" w:rsidP="00B17E79">
      <w:pPr>
        <w:numPr>
          <w:ilvl w:val="0"/>
          <w:numId w:val="11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ustawie z dnia 21 marca 1985 r. o drogach publicznych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1376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 Zm.),</w:t>
      </w:r>
    </w:p>
    <w:p w:rsidR="00B17E79" w:rsidRDefault="00B17E79" w:rsidP="00B17E79">
      <w:pPr>
        <w:numPr>
          <w:ilvl w:val="0"/>
          <w:numId w:val="11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ustawie z dnia 27 kwietnia 2001 r. Prawo ochrony środowiska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1973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sz w:val="22"/>
        </w:rPr>
        <w:t>),</w:t>
      </w:r>
    </w:p>
    <w:p w:rsidR="00B17E79" w:rsidRDefault="00B17E79" w:rsidP="00B17E79">
      <w:pPr>
        <w:numPr>
          <w:ilvl w:val="0"/>
          <w:numId w:val="11"/>
        </w:numPr>
        <w:tabs>
          <w:tab w:val="left" w:pos="426"/>
        </w:tabs>
        <w:spacing w:after="120"/>
        <w:ind w:left="0" w:firstLine="0"/>
        <w:rPr>
          <w:sz w:val="22"/>
        </w:rPr>
      </w:pPr>
      <w:r>
        <w:rPr>
          <w:sz w:val="22"/>
        </w:rPr>
        <w:t>ustawy z dnia 20 lipca 2017 r. Prawo wodne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2021 r. poz. 2233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Projekt decyzji został uzgodniony:</w:t>
      </w:r>
    </w:p>
    <w:p w:rsidR="00B17E79" w:rsidRDefault="00B17E79" w:rsidP="00B17E79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Organem właściwym w zakresie melioracji wodnych:</w:t>
      </w:r>
      <w:r>
        <w:rPr>
          <w:rFonts w:ascii="Arial" w:hAnsi="Arial" w:cs="Arial"/>
          <w:b/>
          <w:sz w:val="20"/>
          <w:szCs w:val="20"/>
          <w:lang w:val="x-none" w:eastAsia="ar-SA"/>
        </w:rPr>
        <w:t xml:space="preserve"> </w:t>
      </w:r>
      <w:r>
        <w:rPr>
          <w:sz w:val="22"/>
          <w:szCs w:val="22"/>
          <w:lang w:val="x-none" w:eastAsia="ar-SA"/>
        </w:rPr>
        <w:t>zgodnie z art. 53 ust. 5 w przypadku niezajęcia stanowiska przez organ uzgadniający w terminie 2 tygodni od dnia doręczenia wystąpienia o uzgodnienie – uzgodnienie uważa się za dokonane</w:t>
      </w:r>
    </w:p>
    <w:p w:rsidR="00B17E79" w:rsidRDefault="00B17E79" w:rsidP="00B17E79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Regionalnym Dyrektorem Ochrony Środowiska w zakresie terenów objętych ochroną na podstawie przepisów o ochronie przyrody:</w:t>
      </w:r>
      <w:r>
        <w:rPr>
          <w:b/>
          <w:lang w:eastAsia="ar-SA"/>
        </w:rPr>
        <w:t xml:space="preserve"> </w:t>
      </w:r>
      <w:r>
        <w:rPr>
          <w:sz w:val="22"/>
          <w:szCs w:val="22"/>
          <w:lang w:eastAsia="ar-SA"/>
        </w:rPr>
        <w:t>zgodnie z art. 53 ust. 5 niewyrażenie stanowiska w terminie 21 dni od dnia otrzymania projektu decyzji, o której mowa w art. 51 ust. 1, przez regionalnego dyrektora ochrony środowiska uznaje się za uzgodnienie decyzji</w:t>
      </w:r>
    </w:p>
    <w:p w:rsidR="00B17E79" w:rsidRDefault="00B17E79" w:rsidP="00B17E79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>
        <w:rPr>
          <w:b/>
          <w:sz w:val="22"/>
        </w:rPr>
        <w:t>Integralną część niniejszej decyzji stanowi:</w:t>
      </w:r>
    </w:p>
    <w:p w:rsidR="00B17E79" w:rsidRDefault="00B17E79" w:rsidP="00B17E79">
      <w:pPr>
        <w:numPr>
          <w:ilvl w:val="0"/>
          <w:numId w:val="1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załącznik Nr 1 - załącznik graficzny do decyzji sporządzony na kopii mapy ewidencyjnej w skali 1:1000, na którym wyznaczono linie rozgraniczające teren inwestycji opisany literami ABCDA,</w:t>
      </w:r>
    </w:p>
    <w:p w:rsidR="00B17E79" w:rsidRDefault="00B17E79" w:rsidP="00B17E79">
      <w:pPr>
        <w:numPr>
          <w:ilvl w:val="0"/>
          <w:numId w:val="1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załącznik Nr 2 - wyniki analizy funkcji oraz cech zabudowy i zagospodarowania terenu – część tekstowa.</w:t>
      </w:r>
    </w:p>
    <w:p w:rsidR="00B17E79" w:rsidRDefault="00B17E79" w:rsidP="00B17E79">
      <w:pPr>
        <w:spacing w:after="120"/>
        <w:rPr>
          <w:sz w:val="22"/>
        </w:rPr>
      </w:pPr>
      <w:r>
        <w:rPr>
          <w:sz w:val="22"/>
        </w:rPr>
        <w:t>Odstąpiono od sporządzenia części graficznej wyników analizy funkcji oraz cech zabudowy i zagospodarowania terenu z uwagi na charakter inwestycji.</w:t>
      </w:r>
    </w:p>
    <w:p w:rsidR="00B17E79" w:rsidRDefault="00B17E79" w:rsidP="00B17E79">
      <w:pPr>
        <w:pStyle w:val="Nagwek2"/>
      </w:pPr>
      <w:r>
        <w:t>UZASADNIENIE</w:t>
      </w:r>
    </w:p>
    <w:p w:rsidR="00B17E79" w:rsidRDefault="00B17E79" w:rsidP="00B17E79">
      <w:pPr>
        <w:rPr>
          <w:sz w:val="22"/>
        </w:rPr>
      </w:pPr>
      <w:r>
        <w:rPr>
          <w:sz w:val="22"/>
          <w:szCs w:val="22"/>
        </w:rPr>
        <w:t xml:space="preserve">Wnioskodawca, </w:t>
      </w:r>
      <w:proofErr w:type="spellStart"/>
      <w:r>
        <w:rPr>
          <w:sz w:val="22"/>
          <w:szCs w:val="22"/>
        </w:rPr>
        <w:t>Wiento</w:t>
      </w:r>
      <w:proofErr w:type="spellEnd"/>
      <w:r>
        <w:rPr>
          <w:sz w:val="22"/>
          <w:szCs w:val="22"/>
        </w:rPr>
        <w:t xml:space="preserve"> Energia Sp. z o.o., złożył w dniu </w:t>
      </w:r>
      <w:r>
        <w:rPr>
          <w:sz w:val="22"/>
        </w:rPr>
        <w:t xml:space="preserve">11.10.2021 r. (uzupełnionego dnia 5.11.2021 r.) </w:t>
      </w:r>
      <w:r>
        <w:rPr>
          <w:sz w:val="22"/>
          <w:szCs w:val="22"/>
        </w:rPr>
        <w:t xml:space="preserve">wniosek o wydanie decyzji o warunkach zabudowy w związku z planowaną inwestycją, polegającą na </w:t>
      </w:r>
      <w:r>
        <w:rPr>
          <w:sz w:val="22"/>
        </w:rPr>
        <w:t xml:space="preserve">budowie farmy fotowoltaicznej o mocy do 1MW wraz z infrastrukturą techniczną – 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 xml:space="preserve">instalacja 3A, </w:t>
      </w:r>
      <w:r>
        <w:rPr>
          <w:sz w:val="22"/>
          <w:szCs w:val="22"/>
        </w:rPr>
        <w:t xml:space="preserve">na </w:t>
      </w:r>
      <w:r>
        <w:rPr>
          <w:sz w:val="22"/>
        </w:rPr>
        <w:t>terenie części działek o numerze ewidencyjnym 102, 101, 99, 96 (obręb 0011 Sulejów) położonych w Sulejowie, gm. Sulejów.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Z uwagi na brak miejscowego planu zagospodarowania przestrzennego dla terenu, na którym planowana jest w/w inwestycja, warunki zabudowy dla działki określonej we wniosku, ustala się na podstawie art. 61 ustawy z dnia 27 marca 2003 r. o planowaniu i zagospodarowaniu przestrzennym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Dz.U. z 2021 r. poz. 741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zm.), zgodnie z Rozporządzeniem Ministra Infrastruktury z dnia 26 sierpnia 2003 r. w sprawie sposobu ustalania wymagań dotyczących nowej zabudowy i zagospodarowania terenu w przypadku braku miejscowego planu zagospodarowania przestrzennego (Dz.U. z 2003 r. Nr 164 poz.1588).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Wniosek w przedmiotowej sprawie zawierał wszystkie elementy wymagane art. 52 ust. 2 ustawy o planowaniu i zagospodarowaniu przestrzennym, a zatem stanowił podstawę do dokonania uzgodnień i ustalenia warunków zabudowy w zakresie wymaganym art. 54 w związku z art. 64 ust. 1 ustawy.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Stosownie do art. 10 § 1 Kodeksu postępowania administracyjnego wszystkie strony zostały zawiadomione o wszczęciu postępowania administracyjnego w przedmiotowej sprawie i poinformowane o przysługujących im uprawnieniach, z których mogły korzystać bez ograniczeń.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Zgodnie z art. 60 ust. 1 powołanej ustawy przedmiotowa decyzja została podjęta po wcześniejszym uzgodnieniu przedsięwzięcia inwestycyjnego z właściwymi organami określonymi w art. 53 ust. 4 i uzyskaniu uzgodnień lub decyzji wymaganych przepisami odrębnymi.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lastRenderedPageBreak/>
        <w:t xml:space="preserve">Teren objęty wnioskiem, nie wymaga zgody na zmianę przeznaczenia gruntów rolnych na cele nierolnicze – stosownie do wymagań ustawy z dnia 3 lutego 1995 r. o ochronie gruntów rolnych i leśnych (jednolity tekst: Dz. U. z 2021 r. poz. 1326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spacing w:after="120"/>
        <w:rPr>
          <w:sz w:val="22"/>
        </w:rPr>
      </w:pPr>
      <w:r>
        <w:rPr>
          <w:sz w:val="22"/>
        </w:rPr>
        <w:t>Projektowana inwestycja spełnia łącznie warunki umożliwiające wydanie decyzji o warunkach zabudowy, określone w art.61 ust.1 ustawy z dnia 27 marca 2003 r. o planowaniu i zagospodarowaniu przestrzennym.</w:t>
      </w:r>
    </w:p>
    <w:p w:rsidR="00B17E79" w:rsidRDefault="00B17E79" w:rsidP="00B17E79">
      <w:pPr>
        <w:pStyle w:val="Nagwek2"/>
      </w:pPr>
      <w:r>
        <w:t>Mając na uwadze powyższe, orzeczono jak w sentencji.</w:t>
      </w:r>
    </w:p>
    <w:p w:rsidR="00B17E79" w:rsidRDefault="00B17E79" w:rsidP="00B17E79">
      <w:pPr>
        <w:rPr>
          <w:sz w:val="22"/>
        </w:rPr>
      </w:pPr>
      <w:r>
        <w:rPr>
          <w:sz w:val="22"/>
        </w:rPr>
        <w:t>Od niniejszej decyzji służy stronom odwołanie do Samorządowego Kolegium Odwoławczego w Piotrkowie Trybunalskim, ul. Słowackiego 19 za pośrednictwem Burmistrza Sulejowa w terminie 14 dni od daty jej doręczenia.</w:t>
      </w:r>
    </w:p>
    <w:p w:rsidR="00B17E79" w:rsidRDefault="00B17E79" w:rsidP="00B17E79">
      <w:pPr>
        <w:rPr>
          <w:sz w:val="22"/>
          <w:szCs w:val="22"/>
        </w:rPr>
      </w:pPr>
      <w:r>
        <w:rPr>
          <w:sz w:val="22"/>
          <w:szCs w:val="22"/>
        </w:rPr>
        <w:t>W trakcie biegu terminu do wniesienia odwołania strona może zrzec się prawa do wniesienia odwołania poprzez złożenie stosownego oświadczenia organowi administracji publicznej, który wydała decyzję. Z chwilą złożenia takiego oświadczenia poprzez ostatnią ze stron, decyzja staje się ostateczna i prawomocna.</w:t>
      </w:r>
    </w:p>
    <w:p w:rsidR="00B17E79" w:rsidRDefault="00B17E79" w:rsidP="00B17E79">
      <w:pPr>
        <w:spacing w:after="240"/>
        <w:rPr>
          <w:sz w:val="22"/>
          <w:szCs w:val="22"/>
        </w:rPr>
      </w:pPr>
      <w:r>
        <w:rPr>
          <w:sz w:val="22"/>
          <w:szCs w:val="22"/>
        </w:rPr>
        <w:t>Decyzja podlega wykonaniu przed upływem terminu do wniesienia odwołania, jeżeli wszystkie strony zrzekły się prawa do wniesienia odwołania.</w:t>
      </w:r>
    </w:p>
    <w:p w:rsidR="00B17E79" w:rsidRDefault="00B17E79" w:rsidP="00B17E79">
      <w:pPr>
        <w:rPr>
          <w:sz w:val="22"/>
          <w:szCs w:val="22"/>
        </w:rPr>
      </w:pPr>
      <w:r>
        <w:rPr>
          <w:sz w:val="22"/>
          <w:szCs w:val="22"/>
        </w:rPr>
        <w:t>Z upoważnienia Burmistrza</w:t>
      </w:r>
    </w:p>
    <w:p w:rsidR="00B17E79" w:rsidRDefault="00B17E79" w:rsidP="00B17E79">
      <w:pPr>
        <w:rPr>
          <w:sz w:val="22"/>
          <w:szCs w:val="22"/>
        </w:rPr>
      </w:pPr>
      <w:r>
        <w:rPr>
          <w:sz w:val="22"/>
          <w:szCs w:val="22"/>
        </w:rPr>
        <w:t xml:space="preserve">Zastępca Burmistrza </w:t>
      </w:r>
    </w:p>
    <w:p w:rsidR="00B17E79" w:rsidRDefault="00B17E79" w:rsidP="00B17E79">
      <w:pPr>
        <w:rPr>
          <w:sz w:val="22"/>
          <w:szCs w:val="22"/>
        </w:rPr>
      </w:pPr>
      <w:r>
        <w:rPr>
          <w:sz w:val="22"/>
          <w:szCs w:val="22"/>
        </w:rPr>
        <w:t>/Małgorzata Just/</w:t>
      </w:r>
    </w:p>
    <w:p w:rsidR="00B17E79" w:rsidRDefault="00B17E79" w:rsidP="00B17E79">
      <w:pPr>
        <w:pStyle w:val="Nagwek2"/>
      </w:pPr>
      <w:r>
        <w:t>POUCZENIE: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Decyzja o warunkach zabudowy nie przesądza o miejscu usytuowania obiektu na działce. Jego usytuowanie w stosunku do granic działek sąsiednich winno spełniać warunki przewidziane w Rozporządzeniu Ministra Infrastruktury z dnia 12 kwietnia 2002 roku w sprawie warunków technicznych, jakim powinny odpowiadać budynki i ich usytuowanie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1065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Decyzja o warunkach zabudowy wiąże organ wydający decyzje o pozwoleniu na budowę (art. 55 ustawy o planowaniu i zagospodarowaniu przestrzennym).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Decyzja niniejsza nie uprawnia do podejmowania jakichkolwiek działań, związanych z rozpoczęciem robót budowlanych.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W odniesieniu do tego samego terenu decyzję o warunkach zabudowy można wydać więcej niż jednemu wnioskodawcy, dostarczając odpis decyzji do wiadomości pozostałym wnioskodawcom i właścicielowi lub użytkownikowi wieczystemu (art. 63 ust. 1 ustawy o planowaniu i zagospodarowaniu przestrzennym).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lastRenderedPageBreak/>
        <w:t>Wnioskodawcy, który nie uzyskał praw do terenu nie przysługuje roszczenie o zwrot nakładów poniesionych w związku z otrzymaną decyzją o warunkach zabudowy (art. 63 ust. 4 ustawy o planowaniu i zagospodarowaniu przestrzennym).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Decyzja niniejsza wygasa jeśli:</w:t>
      </w:r>
    </w:p>
    <w:p w:rsidR="00B17E79" w:rsidRDefault="00B17E79" w:rsidP="00B17E79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inny wnioskodawca uzyska pozwolenie na budowę,</w:t>
      </w:r>
    </w:p>
    <w:p w:rsidR="00B17E79" w:rsidRDefault="00B17E79" w:rsidP="00B17E79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dla przedmiotowego terenu uchwalony zostanie miejscowy plan zagospodarowania przestrzennego, którego ustalenia są inne niż niniejszej decyzji; przepisu tego nie stosuje się, jeżeli została wydana ostateczna decyzja o pozwoleniu na budowę.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Decyzję o pozwoleniu na budowę należy uzyskać w Starostwie Powiatowym w Piotrkowie Trybunalskim.</w:t>
      </w:r>
    </w:p>
    <w:p w:rsidR="00B17E79" w:rsidRDefault="00B17E79" w:rsidP="00B17E79">
      <w:pPr>
        <w:numPr>
          <w:ilvl w:val="0"/>
          <w:numId w:val="14"/>
        </w:numPr>
        <w:tabs>
          <w:tab w:val="left" w:pos="426"/>
        </w:tabs>
        <w:ind w:left="0" w:firstLine="0"/>
        <w:rPr>
          <w:sz w:val="22"/>
        </w:rPr>
      </w:pPr>
      <w:r>
        <w:rPr>
          <w:sz w:val="22"/>
        </w:rPr>
        <w:t>Decyzja podlega opłacie skarbowej w wysokości 598,00 zł zgodnie z ustawą o opłacie skarbowej</w:t>
      </w:r>
    </w:p>
    <w:p w:rsidR="00B17E79" w:rsidRDefault="00B17E79" w:rsidP="00B17E79">
      <w:pPr>
        <w:tabs>
          <w:tab w:val="left" w:pos="426"/>
        </w:tabs>
        <w:rPr>
          <w:sz w:val="22"/>
        </w:rPr>
      </w:pPr>
      <w:r>
        <w:rPr>
          <w:sz w:val="22"/>
        </w:rPr>
        <w:t>z 16.11.2006 r.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2021 r. poz. 1923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zm.).</w:t>
      </w:r>
    </w:p>
    <w:p w:rsidR="00B17E79" w:rsidRDefault="00B17E79" w:rsidP="00B17E79">
      <w:pPr>
        <w:tabs>
          <w:tab w:val="left" w:pos="426"/>
        </w:tabs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przepisu art. 72 ust. 6 w związku z art. 72 ust. 1 pkt. 3 ustawy z dnia 03 października 2008 r. o udostępnianiu informacji o środowisku i jego ochronie, udziale społeczeństwa w ochronie środowiska oraz ocenach oddziaływania na środowisko treść niniejszej decyzji została udostępniona na okres 14 dni na stronie Biuletynu Informacji Publicznej Urzędu Miasta w Sulejowie</w:t>
      </w:r>
    </w:p>
    <w:p w:rsidR="00B17E79" w:rsidRDefault="00B17E79" w:rsidP="00B17E79">
      <w:r>
        <w:t>Załączniki do decyzji:</w:t>
      </w:r>
    </w:p>
    <w:p w:rsidR="00B17E79" w:rsidRDefault="00B17E79" w:rsidP="00B17E79">
      <w:pPr>
        <w:numPr>
          <w:ilvl w:val="0"/>
          <w:numId w:val="16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załącznik Nr 1 - załącznik graficzny do decyzji sporządzony na kopii mapy ewidencyjnej w skali 1:1000, na którym wyznaczono linie rozgraniczające teren inwestycji opisany literami ABCDA,</w:t>
      </w:r>
    </w:p>
    <w:p w:rsidR="00B17E79" w:rsidRDefault="00B17E79" w:rsidP="00B17E79">
      <w:pPr>
        <w:numPr>
          <w:ilvl w:val="0"/>
          <w:numId w:val="16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załącznik Nr 2 - wyniki analizy funkcji oraz cech zabudowy i zagospodarowania terenu – część tekstowa.</w:t>
      </w:r>
    </w:p>
    <w:p w:rsidR="00B17E79" w:rsidRDefault="00B17E79" w:rsidP="00B17E79">
      <w:pPr>
        <w:spacing w:after="240"/>
        <w:rPr>
          <w:sz w:val="22"/>
        </w:rPr>
      </w:pPr>
      <w:r>
        <w:rPr>
          <w:sz w:val="22"/>
        </w:rPr>
        <w:t>Odstąpiono od sporządzenia części graficznej wyników analizy funkcji oraz cech zabudowy i zagospodarowania terenu z uwagi na charakter inwestycji.</w:t>
      </w:r>
    </w:p>
    <w:p w:rsidR="00B17E79" w:rsidRDefault="00B17E79" w:rsidP="00B17E79">
      <w:pPr>
        <w:rPr>
          <w:b/>
        </w:rPr>
      </w:pPr>
      <w:r>
        <w:rPr>
          <w:b/>
        </w:rPr>
        <w:t>Otrzymują:</w:t>
      </w:r>
    </w:p>
    <w:p w:rsidR="00B17E79" w:rsidRDefault="00B17E79" w:rsidP="00B17E79">
      <w:pPr>
        <w:numPr>
          <w:ilvl w:val="0"/>
          <w:numId w:val="17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wnioskodawca</w:t>
      </w:r>
    </w:p>
    <w:p w:rsidR="00B17E79" w:rsidRDefault="00B17E79" w:rsidP="00B17E79">
      <w:pPr>
        <w:numPr>
          <w:ilvl w:val="0"/>
          <w:numId w:val="17"/>
        </w:numPr>
        <w:tabs>
          <w:tab w:val="left" w:pos="284"/>
        </w:tabs>
        <w:ind w:left="0" w:firstLine="0"/>
        <w:rPr>
          <w:sz w:val="22"/>
        </w:rPr>
      </w:pPr>
    </w:p>
    <w:p w:rsidR="00B17E79" w:rsidRDefault="00B17E79" w:rsidP="00B17E79">
      <w:pPr>
        <w:numPr>
          <w:ilvl w:val="0"/>
          <w:numId w:val="17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a/a</w:t>
      </w:r>
    </w:p>
    <w:p w:rsidR="00B17E79" w:rsidRDefault="00B17E79" w:rsidP="00B17E79">
      <w:pPr>
        <w:tabs>
          <w:tab w:val="left" w:pos="284"/>
        </w:tabs>
      </w:pPr>
      <w:r>
        <w:rPr>
          <w:b/>
        </w:rPr>
        <w:t>Projekt decyzji przygotował:</w:t>
      </w:r>
      <w:r>
        <w:t xml:space="preserve"> mgr Bohdan Wrzeszcz uprawniony urbanista z art. 5 pkt 3 Ustawy z dnia 27 marca 2003 </w:t>
      </w:r>
      <w:proofErr w:type="spellStart"/>
      <w:r>
        <w:t>r.o</w:t>
      </w:r>
      <w:proofErr w:type="spellEnd"/>
      <w:r>
        <w:t xml:space="preserve"> planowaniu i zagospodarowaniu przestrzennym </w:t>
      </w:r>
    </w:p>
    <w:p w:rsidR="00ED4EAF" w:rsidRDefault="00ED4EAF">
      <w:bookmarkStart w:id="0" w:name="_GoBack"/>
      <w:bookmarkEnd w:id="0"/>
    </w:p>
    <w:sectPr w:rsidR="00ED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DAD"/>
    <w:multiLevelType w:val="hybridMultilevel"/>
    <w:tmpl w:val="892A8098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CCA"/>
    <w:multiLevelType w:val="hybridMultilevel"/>
    <w:tmpl w:val="5452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7059"/>
    <w:multiLevelType w:val="hybridMultilevel"/>
    <w:tmpl w:val="88BE7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6B32"/>
    <w:multiLevelType w:val="hybridMultilevel"/>
    <w:tmpl w:val="3C20F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404C"/>
    <w:multiLevelType w:val="hybridMultilevel"/>
    <w:tmpl w:val="CA1AF68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756D"/>
    <w:multiLevelType w:val="hybridMultilevel"/>
    <w:tmpl w:val="FE72E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64D7"/>
    <w:multiLevelType w:val="hybridMultilevel"/>
    <w:tmpl w:val="BC64C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911"/>
    <w:multiLevelType w:val="hybridMultilevel"/>
    <w:tmpl w:val="E6001470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75F"/>
    <w:multiLevelType w:val="hybridMultilevel"/>
    <w:tmpl w:val="5452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4855"/>
    <w:multiLevelType w:val="hybridMultilevel"/>
    <w:tmpl w:val="5198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116"/>
    <w:multiLevelType w:val="hybridMultilevel"/>
    <w:tmpl w:val="9C804B40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02953"/>
    <w:multiLevelType w:val="hybridMultilevel"/>
    <w:tmpl w:val="425C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3DA2"/>
    <w:multiLevelType w:val="hybridMultilevel"/>
    <w:tmpl w:val="75129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53FE"/>
    <w:multiLevelType w:val="multilevel"/>
    <w:tmpl w:val="B8A879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10E520A"/>
    <w:multiLevelType w:val="hybridMultilevel"/>
    <w:tmpl w:val="FE72E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C171B"/>
    <w:multiLevelType w:val="hybridMultilevel"/>
    <w:tmpl w:val="5DB09818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30776"/>
    <w:multiLevelType w:val="hybridMultilevel"/>
    <w:tmpl w:val="FE72E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B"/>
    <w:rsid w:val="0048518B"/>
    <w:rsid w:val="00B17E79"/>
    <w:rsid w:val="00E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14C9-8209-4857-826A-4565BFC1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E79"/>
    <w:pPr>
      <w:spacing w:after="0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7E79"/>
    <w:pPr>
      <w:keepNext/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7E79"/>
    <w:pPr>
      <w:keepNext/>
      <w:suppressAutoHyphens/>
      <w:jc w:val="center"/>
      <w:outlineLvl w:val="1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7E79"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17E79"/>
    <w:rPr>
      <w:rFonts w:ascii="Calibri" w:eastAsia="Times New Roman" w:hAnsi="Calibri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2531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3</cp:revision>
  <dcterms:created xsi:type="dcterms:W3CDTF">2022-10-27T12:54:00Z</dcterms:created>
  <dcterms:modified xsi:type="dcterms:W3CDTF">2022-10-27T12:54:00Z</dcterms:modified>
</cp:coreProperties>
</file>