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40" w:rsidRDefault="00AA0040" w:rsidP="00AA0040">
      <w:r>
        <w:t>BURMISTRZ SULEJOWA</w:t>
      </w:r>
    </w:p>
    <w:p w:rsidR="00AA0040" w:rsidRDefault="00AA0040" w:rsidP="00AA0040">
      <w:r w:rsidRPr="00051258">
        <w:t>Z</w:t>
      </w:r>
      <w:r>
        <w:t>nak:</w:t>
      </w:r>
      <w:r w:rsidR="005E3B7D">
        <w:t>PP.6730.143</w:t>
      </w:r>
      <w:r w:rsidR="0007497C">
        <w:t>.2024</w:t>
      </w:r>
    </w:p>
    <w:p w:rsidR="00AA0040" w:rsidRPr="00051258" w:rsidRDefault="00880FD6" w:rsidP="00AA0040">
      <w:r>
        <w:t>Sulejów, dnia 29.07</w:t>
      </w:r>
      <w:r w:rsidR="00AA6E16">
        <w:t>.2024</w:t>
      </w:r>
      <w:r w:rsidR="00AA0040" w:rsidRPr="00051258">
        <w:t xml:space="preserve"> r.</w:t>
      </w:r>
    </w:p>
    <w:p w:rsidR="00AA0040" w:rsidRPr="00051258" w:rsidRDefault="00AA0040" w:rsidP="00AA0040">
      <w:pPr>
        <w:pStyle w:val="Nagwek1"/>
      </w:pPr>
      <w:r w:rsidRPr="00051258">
        <w:t>DECYZJA</w:t>
      </w:r>
    </w:p>
    <w:p w:rsidR="00AA0040" w:rsidRPr="00DA04F4" w:rsidRDefault="00AA0040" w:rsidP="00AA0040">
      <w:pPr>
        <w:pStyle w:val="Nagwek1"/>
        <w:rPr>
          <w:rFonts w:eastAsia="Lucida Sans Unicode"/>
        </w:rPr>
      </w:pPr>
      <w:r w:rsidRPr="00051258">
        <w:rPr>
          <w:rFonts w:eastAsia="Lucida Sans Unicode"/>
        </w:rPr>
        <w:t>o warunkach zabudowy</w:t>
      </w:r>
    </w:p>
    <w:p w:rsidR="005E3B7D" w:rsidRPr="005E3B7D" w:rsidRDefault="00AA0040" w:rsidP="005E3B7D">
      <w:pPr>
        <w:rPr>
          <w:b/>
        </w:rPr>
      </w:pPr>
      <w:r w:rsidRPr="00051258">
        <w:t>Na podstawie art. 4 ust. 2 pkt 2, art. 59 ust. 1, art. 60, art. 61 i art. 64 ust.1 u</w:t>
      </w:r>
      <w:r>
        <w:t xml:space="preserve">stawy z dnia 27 marca 2003 r. o </w:t>
      </w:r>
      <w:r w:rsidRPr="00051258">
        <w:t>planow</w:t>
      </w:r>
      <w:r>
        <w:t xml:space="preserve">aniu i </w:t>
      </w:r>
      <w:r w:rsidRPr="00051258">
        <w:t>zagospodarowaniu przestrzennym (t.j. Dz. U. z 2023 r. poz. 977</w:t>
      </w:r>
      <w:r w:rsidR="009C6C5D">
        <w:t xml:space="preserve"> z późn. zm.</w:t>
      </w:r>
      <w:r w:rsidRPr="00051258">
        <w:t>) oraz art. 104, art. 107 ustawy z dnia 14 czerwca 1960 r. Kodeks postępowa</w:t>
      </w:r>
      <w:r w:rsidR="005E3B7D">
        <w:t xml:space="preserve">nia administracyjnego </w:t>
      </w:r>
      <w:r w:rsidR="005E3B7D" w:rsidRPr="005E3B7D">
        <w:t>(t.j. Dz. U. z 2024 r. poz. 572), po rozpatrzeniu wniosku z dnia 17.04.2024 r. (uzupełnionego dnia 22.05.2024 r.), który złożył:</w:t>
      </w:r>
      <w:r w:rsidR="005E3B7D">
        <w:rPr>
          <w:b/>
        </w:rPr>
        <w:t xml:space="preserve"> </w:t>
      </w:r>
      <w:r w:rsidR="005E3B7D" w:rsidRPr="005E3B7D">
        <w:rPr>
          <w:b/>
        </w:rPr>
        <w:t>PCWO ENERGY PROJEKT Sp. z o.o.</w:t>
      </w:r>
    </w:p>
    <w:p w:rsidR="005E3B7D" w:rsidRPr="005E3B7D" w:rsidRDefault="005E3B7D" w:rsidP="005E3B7D">
      <w:pPr>
        <w:jc w:val="both"/>
        <w:rPr>
          <w:b/>
        </w:rPr>
      </w:pPr>
      <w:r w:rsidRPr="005E3B7D">
        <w:rPr>
          <w:b/>
        </w:rPr>
        <w:t>00-113 Warszawa, ul. Emilii Plater 53</w:t>
      </w:r>
    </w:p>
    <w:p w:rsidR="005E3B7D" w:rsidRPr="005E3B7D" w:rsidRDefault="005E3B7D" w:rsidP="005E3B7D">
      <w:pPr>
        <w:pStyle w:val="Tekstpodstawowywcity2"/>
        <w:spacing w:after="0" w:line="360" w:lineRule="auto"/>
        <w:ind w:left="1440" w:hanging="1440"/>
      </w:pPr>
      <w:r w:rsidRPr="005E3B7D">
        <w:t>adres do korespondencji:</w:t>
      </w:r>
      <w:r>
        <w:t xml:space="preserve"> </w:t>
      </w:r>
      <w:r w:rsidRPr="005E3B7D">
        <w:rPr>
          <w:b/>
        </w:rPr>
        <w:t>25-311 Kielce, ul. Świętego Leonarda 7</w:t>
      </w:r>
    </w:p>
    <w:p w:rsidR="005E3B7D" w:rsidRPr="005E3B7D" w:rsidRDefault="005E3B7D" w:rsidP="005E3B7D">
      <w:pPr>
        <w:pStyle w:val="Tekstpodstawowywcity31"/>
        <w:spacing w:line="360" w:lineRule="auto"/>
        <w:ind w:left="0" w:firstLine="0"/>
        <w:jc w:val="left"/>
        <w:rPr>
          <w:rFonts w:ascii="Calibri" w:hAnsi="Calibri"/>
        </w:rPr>
      </w:pPr>
      <w:r w:rsidRPr="005E3B7D">
        <w:rPr>
          <w:rFonts w:ascii="Calibri" w:hAnsi="Calibri"/>
        </w:rPr>
        <w:t>na inwestycję: budowa</w:t>
      </w:r>
      <w:r w:rsidRPr="005E3B7D">
        <w:rPr>
          <w:rFonts w:ascii="Calibri" w:hAnsi="Calibri"/>
          <w:b/>
        </w:rPr>
        <w:t xml:space="preserve"> </w:t>
      </w:r>
      <w:r w:rsidRPr="005E3B7D">
        <w:rPr>
          <w:rFonts w:ascii="Calibri" w:hAnsi="Calibri"/>
        </w:rPr>
        <w:t>farmy fotowoltaicznej o mocy do 3MW zlokalizowanej na części działki numer 705 w obrębie</w:t>
      </w:r>
      <w:r w:rsidRPr="005E3B7D">
        <w:rPr>
          <w:rFonts w:ascii="Calibri" w:hAnsi="Calibri"/>
          <w:b/>
        </w:rPr>
        <w:t xml:space="preserve"> </w:t>
      </w:r>
      <w:r w:rsidRPr="005E3B7D">
        <w:rPr>
          <w:rFonts w:ascii="Calibri" w:hAnsi="Calibri"/>
        </w:rPr>
        <w:t>Biała, Gmina Sulejów,</w:t>
      </w:r>
    </w:p>
    <w:p w:rsidR="005E3B7D" w:rsidRPr="005E3B7D" w:rsidRDefault="005E3B7D" w:rsidP="005E3B7D">
      <w:pPr>
        <w:pStyle w:val="Tekstpodstawowywcity21"/>
        <w:tabs>
          <w:tab w:val="left" w:pos="0"/>
        </w:tabs>
        <w:spacing w:line="360" w:lineRule="auto"/>
        <w:ind w:left="0" w:firstLine="0"/>
        <w:jc w:val="left"/>
        <w:rPr>
          <w:rFonts w:ascii="Calibri" w:hAnsi="Calibri"/>
        </w:rPr>
      </w:pPr>
      <w:r w:rsidRPr="005E3B7D">
        <w:rPr>
          <w:rFonts w:ascii="Calibri" w:hAnsi="Calibri"/>
        </w:rPr>
        <w:t>przewidzianą do realizacji: na terenie części działki o numerze ewidencyjnym 705 (obręb</w:t>
      </w:r>
      <w:r>
        <w:rPr>
          <w:rFonts w:ascii="Calibri" w:hAnsi="Calibri"/>
        </w:rPr>
        <w:t xml:space="preserve"> </w:t>
      </w:r>
      <w:r w:rsidRPr="005E3B7D">
        <w:rPr>
          <w:rFonts w:ascii="Calibri" w:hAnsi="Calibri"/>
        </w:rPr>
        <w:t>0003 Biała) położonej w miejscowości Biała, gm. Sulejów.</w:t>
      </w:r>
    </w:p>
    <w:p w:rsidR="00AA0040" w:rsidRPr="00DA04F4" w:rsidRDefault="00AA0040" w:rsidP="005E3B7D">
      <w:pPr>
        <w:pStyle w:val="Nagwek2"/>
      </w:pPr>
      <w:r>
        <w:t>USTALAM</w:t>
      </w:r>
    </w:p>
    <w:p w:rsidR="00AA0040" w:rsidRPr="00DA04F4" w:rsidRDefault="00AA0040" w:rsidP="00AA0040">
      <w:pPr>
        <w:pStyle w:val="Nagwek2"/>
      </w:pPr>
      <w:r>
        <w:t xml:space="preserve">WARUNKI </w:t>
      </w:r>
      <w:r w:rsidRPr="00DA04F4">
        <w:t>ZABUDOWY</w:t>
      </w:r>
    </w:p>
    <w:p w:rsidR="005E3B7D" w:rsidRPr="00051258" w:rsidRDefault="009C6C5D" w:rsidP="00AA0040">
      <w:pPr>
        <w:rPr>
          <w:b/>
        </w:rPr>
      </w:pPr>
      <w:r>
        <w:rPr>
          <w:b/>
        </w:rPr>
        <w:t xml:space="preserve">dla: </w:t>
      </w:r>
      <w:r w:rsidR="005E3B7D" w:rsidRPr="005E3B7D">
        <w:rPr>
          <w:b/>
        </w:rPr>
        <w:t>PCWO ENERGY PROJEKT Sp. z o.o.</w:t>
      </w:r>
      <w:r w:rsidR="005E3B7D">
        <w:rPr>
          <w:b/>
        </w:rPr>
        <w:t xml:space="preserve">, </w:t>
      </w:r>
      <w:r w:rsidR="005E3B7D" w:rsidRPr="005E3B7D">
        <w:rPr>
          <w:b/>
        </w:rPr>
        <w:t>00-113 Warszawa, ul. Emilii Plater 53</w:t>
      </w:r>
    </w:p>
    <w:p w:rsidR="00AA0040" w:rsidRPr="00051258" w:rsidRDefault="00AA0040" w:rsidP="00AA0040">
      <w:r w:rsidRPr="00051258">
        <w:rPr>
          <w:b/>
        </w:rPr>
        <w:t xml:space="preserve">Rodzaj inwestycji: </w:t>
      </w:r>
      <w:r w:rsidR="009C6C5D" w:rsidRPr="009C6C5D">
        <w:t xml:space="preserve">budowa </w:t>
      </w:r>
      <w:r w:rsidR="005E3B7D" w:rsidRPr="005E3B7D">
        <w:t>farmy fotowoltaicznej o mocy do 3MW zlokalizowanej na części działki numer 705 w obrębie</w:t>
      </w:r>
      <w:r w:rsidR="005E3B7D" w:rsidRPr="005E3B7D">
        <w:rPr>
          <w:b/>
        </w:rPr>
        <w:t xml:space="preserve"> </w:t>
      </w:r>
      <w:r w:rsidR="005E3B7D" w:rsidRPr="005E3B7D">
        <w:t>Biała, Gmina Sulejów</w:t>
      </w:r>
      <w:r w:rsidR="005E3B7D">
        <w:t>.</w:t>
      </w:r>
    </w:p>
    <w:p w:rsidR="00AA0040" w:rsidRDefault="00AA0040" w:rsidP="00AA0040">
      <w:r w:rsidRPr="00051258">
        <w:rPr>
          <w:b/>
        </w:rPr>
        <w:t xml:space="preserve">Lokalizacja inwestycji: </w:t>
      </w:r>
      <w:r w:rsidR="009C6C5D" w:rsidRPr="009C6C5D">
        <w:t xml:space="preserve">na terenie </w:t>
      </w:r>
      <w:r w:rsidR="005E3B7D" w:rsidRPr="005E3B7D">
        <w:t>części działki o numerze ewidencyjnym 705 (obręb</w:t>
      </w:r>
      <w:r w:rsidR="005E3B7D">
        <w:t xml:space="preserve"> </w:t>
      </w:r>
      <w:r w:rsidR="005E3B7D" w:rsidRPr="005E3B7D">
        <w:t>0003 Biała) położonej w miejscowości Biała, gm. Sulejów.</w:t>
      </w:r>
    </w:p>
    <w:p w:rsidR="00AA0040" w:rsidRDefault="00AA0040" w:rsidP="00AA0040">
      <w:pPr>
        <w:numPr>
          <w:ilvl w:val="0"/>
          <w:numId w:val="3"/>
        </w:numPr>
      </w:pPr>
      <w:r w:rsidRPr="00051258">
        <w:rPr>
          <w:b/>
        </w:rPr>
        <w:t xml:space="preserve">Rodzaj zabudowy: </w:t>
      </w:r>
      <w:r w:rsidR="005E3B7D" w:rsidRPr="005E3B7D">
        <w:t>instalacja fotowoltaiczna.</w:t>
      </w:r>
    </w:p>
    <w:p w:rsidR="00AA0040" w:rsidRPr="00DA04F4" w:rsidRDefault="00AA0040" w:rsidP="00AA0040">
      <w:r w:rsidRPr="00DA04F4">
        <w:rPr>
          <w:b/>
        </w:rPr>
        <w:t>funkcja zabudowy i zagospodarowania terenu :</w:t>
      </w:r>
    </w:p>
    <w:p w:rsidR="00AA0040" w:rsidRDefault="00AA0040" w:rsidP="00AA0040">
      <w:pPr>
        <w:numPr>
          <w:ilvl w:val="0"/>
          <w:numId w:val="2"/>
        </w:numPr>
        <w:ind w:left="284"/>
      </w:pPr>
      <w:r w:rsidRPr="00051258">
        <w:t>sposób użytkowania obiektów budowlanych - zgodnie z przeznaczeniem;</w:t>
      </w:r>
    </w:p>
    <w:p w:rsidR="00AA0040" w:rsidRDefault="00AA0040" w:rsidP="00AA0040">
      <w:pPr>
        <w:numPr>
          <w:ilvl w:val="0"/>
          <w:numId w:val="2"/>
        </w:numPr>
        <w:ind w:left="284"/>
      </w:pPr>
      <w:r w:rsidRPr="00051258">
        <w:t>sposób zagospodarowania terenu</w:t>
      </w:r>
      <w:r w:rsidRPr="00DA04F4">
        <w:rPr>
          <w:b/>
        </w:rPr>
        <w:t xml:space="preserve"> </w:t>
      </w:r>
      <w:r w:rsidRPr="005E3B7D">
        <w:t>–</w:t>
      </w:r>
      <w:r w:rsidRPr="00DA04F4">
        <w:rPr>
          <w:b/>
        </w:rPr>
        <w:t xml:space="preserve"> </w:t>
      </w:r>
      <w:r w:rsidR="005E3B7D">
        <w:rPr>
          <w:sz w:val="22"/>
        </w:rPr>
        <w:t xml:space="preserve">panele fotowoltaiczne, konstrukcja montażowa (stoły) pod panele fotowoltaiczne, infrastruktura naziemna i podziemna związana z konstrukcją nośną paneli fotowoltaicznych, sieć energetyczna kablowa podziemna niskiego napięcia oraz przyłącze energetyczne średniego napięcia, kontenerowa stacja (transformatorowo-kontrolna), inwertery (falowniki), system monitoringu oraz ogrodzenie instalacji, instalacja odgromowa, kabel </w:t>
      </w:r>
      <w:r w:rsidR="005E3B7D">
        <w:rPr>
          <w:sz w:val="22"/>
        </w:rPr>
        <w:lastRenderedPageBreak/>
        <w:t>telekomunikacyjny, inne niezbędne elementy infrastruktury związane z budową i eksploatacją instalacji fotowoltaicznej, zjazd na działkę.</w:t>
      </w:r>
    </w:p>
    <w:p w:rsidR="00AA0040" w:rsidRPr="00744F4D" w:rsidRDefault="00AA0040" w:rsidP="00AA0040">
      <w:pPr>
        <w:numPr>
          <w:ilvl w:val="0"/>
          <w:numId w:val="3"/>
        </w:numPr>
      </w:pPr>
      <w:r w:rsidRPr="00744F4D">
        <w:rPr>
          <w:b/>
        </w:rPr>
        <w:t>Ustalenia – warunki zabudowy i szczegółowe zasady zagospodarowania terenu, wynikające z przepisów odrębnych:</w:t>
      </w:r>
    </w:p>
    <w:p w:rsidR="00AA0040" w:rsidRPr="005477BA" w:rsidRDefault="00AA0040" w:rsidP="00AA0040">
      <w:pPr>
        <w:numPr>
          <w:ilvl w:val="1"/>
          <w:numId w:val="4"/>
        </w:numPr>
        <w:rPr>
          <w:b/>
        </w:rPr>
      </w:pPr>
      <w:r w:rsidRPr="005477BA">
        <w:rPr>
          <w:b/>
        </w:rPr>
        <w:t>Warunki i wymagania ochrony i kształtowania ładu przestrzennego:</w:t>
      </w:r>
    </w:p>
    <w:p w:rsidR="005E3B7D" w:rsidRDefault="00AA0040" w:rsidP="005E3B7D">
      <w:pPr>
        <w:numPr>
          <w:ilvl w:val="0"/>
          <w:numId w:val="5"/>
        </w:numPr>
        <w:ind w:left="426" w:hanging="426"/>
      </w:pPr>
      <w:r w:rsidRPr="00051258">
        <w:t>należy zachować warunki wynikające z rozporządzenia Ministra Infrastruktury z dnia 12 kwietnia 2002 r. w sprawie warunków technicznych jakim powinny odp</w:t>
      </w:r>
      <w:r>
        <w:t xml:space="preserve">owiadać budynki </w:t>
      </w:r>
      <w:r w:rsidRPr="00051258">
        <w:t>i ich usytuowanie (t.j. Dz. U. z 2022 r. poz. 1225 z późn. zm.),</w:t>
      </w:r>
    </w:p>
    <w:p w:rsidR="005E3B7D" w:rsidRDefault="005E3B7D" w:rsidP="005E3B7D">
      <w:pPr>
        <w:numPr>
          <w:ilvl w:val="0"/>
          <w:numId w:val="5"/>
        </w:numPr>
        <w:ind w:left="426" w:hanging="426"/>
      </w:pPr>
      <w:r w:rsidRPr="005E3B7D">
        <w:t>linia zabudowy – ustala się nieprzekraczalną linię zabudowy w odległości 6,0 m od granicy działki z pasem drogowym drogi wewnętrznej (działka  nr ewid. 697 obręb 0003 Biała) zgodnie  załącznikiem graficznym Nr 1</w:t>
      </w:r>
      <w:r w:rsidRPr="005E3B7D">
        <w:rPr>
          <w:color w:val="000000"/>
        </w:rPr>
        <w:t>,</w:t>
      </w:r>
    </w:p>
    <w:p w:rsidR="005E3B7D" w:rsidRDefault="005E3B7D" w:rsidP="005E3B7D">
      <w:pPr>
        <w:numPr>
          <w:ilvl w:val="0"/>
          <w:numId w:val="5"/>
        </w:numPr>
        <w:ind w:left="426" w:hanging="426"/>
      </w:pPr>
      <w:r w:rsidRPr="005E3B7D">
        <w:t>forma architektoniczna – nie dotyczy. Montaż gotowych elementów typowych dostarczonych przez producenta. Łączna wysokość farmy fotowoltaicznej (konstrukcji wsporczej pod panele fotowoltaic</w:t>
      </w:r>
      <w:r>
        <w:t>zne) nie przekroczy 4,0 m n.p.t.,</w:t>
      </w:r>
    </w:p>
    <w:p w:rsidR="005E3B7D" w:rsidRDefault="005E3B7D" w:rsidP="005E3B7D">
      <w:pPr>
        <w:numPr>
          <w:ilvl w:val="0"/>
          <w:numId w:val="5"/>
        </w:numPr>
        <w:ind w:left="426" w:hanging="426"/>
      </w:pPr>
      <w:r w:rsidRPr="005E3B7D">
        <w:t>wielkość powierzchni zabudowy w stosunku do powierzchni terenu inwestycji – do 0,7 (teren objęty wnioskiem do 14800 m</w:t>
      </w:r>
      <w:r w:rsidRPr="005E3B7D">
        <w:rPr>
          <w:vertAlign w:val="superscript"/>
        </w:rPr>
        <w:t>2</w:t>
      </w:r>
      <w:r w:rsidRPr="005E3B7D">
        <w:t>),</w:t>
      </w:r>
    </w:p>
    <w:p w:rsidR="005E3B7D" w:rsidRDefault="005E3B7D" w:rsidP="005E3B7D">
      <w:pPr>
        <w:numPr>
          <w:ilvl w:val="0"/>
          <w:numId w:val="5"/>
        </w:numPr>
        <w:ind w:left="426" w:hanging="426"/>
      </w:pPr>
      <w:r w:rsidRPr="005E3B7D">
        <w:t>szerokość elewacji frontowej – nie dotyczy,</w:t>
      </w:r>
    </w:p>
    <w:p w:rsidR="005E3B7D" w:rsidRDefault="005E3B7D" w:rsidP="005E3B7D">
      <w:pPr>
        <w:numPr>
          <w:ilvl w:val="0"/>
          <w:numId w:val="5"/>
        </w:numPr>
        <w:ind w:left="426" w:hanging="426"/>
      </w:pPr>
      <w:r w:rsidRPr="005E3B7D">
        <w:t>wysokość górnej krawędzi elewacji frontowej (mierzonej od średniego poziomu terenu przed głównym wejściem do budynku) – nie dotyczy,</w:t>
      </w:r>
    </w:p>
    <w:p w:rsidR="005E3B7D" w:rsidRDefault="005E3B7D" w:rsidP="005E3B7D">
      <w:pPr>
        <w:numPr>
          <w:ilvl w:val="0"/>
          <w:numId w:val="5"/>
        </w:numPr>
        <w:ind w:left="426" w:hanging="426"/>
      </w:pPr>
      <w:r w:rsidRPr="005E3B7D">
        <w:t>geometria dachów zabudowy – nie dotyczy,</w:t>
      </w:r>
    </w:p>
    <w:p w:rsidR="005E3B7D" w:rsidRDefault="005E3B7D" w:rsidP="005E3B7D">
      <w:pPr>
        <w:numPr>
          <w:ilvl w:val="0"/>
          <w:numId w:val="5"/>
        </w:numPr>
        <w:ind w:left="426" w:hanging="426"/>
      </w:pPr>
      <w:r w:rsidRPr="005E3B7D">
        <w:t>projektowana farma fotowoltaiczna pozyskiwać będzie energię elektryczną ze źródła odnawialnego,</w:t>
      </w:r>
    </w:p>
    <w:p w:rsidR="005E3B7D" w:rsidRDefault="005E3B7D" w:rsidP="005E3B7D">
      <w:pPr>
        <w:numPr>
          <w:ilvl w:val="0"/>
          <w:numId w:val="5"/>
        </w:numPr>
        <w:ind w:left="426" w:hanging="426"/>
      </w:pPr>
      <w:r w:rsidRPr="005E3B7D">
        <w:t>w skład farmy fotowoltaicznej wchodzą następujące urządzenia i obiekty budowlane:</w:t>
      </w:r>
    </w:p>
    <w:p w:rsidR="005E3B7D" w:rsidRDefault="005E3B7D" w:rsidP="005E3B7D">
      <w:pPr>
        <w:ind w:left="426"/>
      </w:pPr>
      <w:r w:rsidRPr="005E3B7D">
        <w:rPr>
          <w:color w:val="000000"/>
        </w:rPr>
        <w:t>-  konstrukcja wsporcza pod panele fotowoltaiczne – stelaże połączone gruntem umożliwiające montaż paneli stanowiących jednostkę wytwórczą,</w:t>
      </w:r>
    </w:p>
    <w:p w:rsidR="005E3B7D" w:rsidRDefault="005E3B7D" w:rsidP="005E3B7D">
      <w:pPr>
        <w:ind w:left="426"/>
      </w:pPr>
      <w:r w:rsidRPr="005E3B7D">
        <w:rPr>
          <w:color w:val="000000"/>
        </w:rPr>
        <w:t>- panele fotowoltaiczne ilości do 7500 szt., o mocy pojedynczego panelu od 250 do 1000 W, kąt nachylenia od 15 do 45 stopni,</w:t>
      </w:r>
    </w:p>
    <w:p w:rsidR="005E3B7D" w:rsidRDefault="005E3B7D" w:rsidP="005E3B7D">
      <w:pPr>
        <w:ind w:left="426"/>
      </w:pPr>
      <w:r w:rsidRPr="005E3B7D">
        <w:rPr>
          <w:color w:val="000000"/>
        </w:rPr>
        <w:t>- inwertery,</w:t>
      </w:r>
    </w:p>
    <w:p w:rsidR="005E3B7D" w:rsidRDefault="005E3B7D" w:rsidP="005E3B7D">
      <w:pPr>
        <w:ind w:left="426"/>
      </w:pPr>
      <w:r w:rsidRPr="005E3B7D">
        <w:rPr>
          <w:color w:val="000000"/>
        </w:rPr>
        <w:t>- kontenerowa stacja (transformatorowo-kontrolna) – do 3 szt., wymiary stacji: szerokość elewacji frontowej do 6,0 m, powierzchnia zabudowy do 24,0 m</w:t>
      </w:r>
      <w:r w:rsidRPr="005E3B7D">
        <w:rPr>
          <w:color w:val="000000"/>
          <w:vertAlign w:val="superscript"/>
        </w:rPr>
        <w:t>2</w:t>
      </w:r>
      <w:r w:rsidRPr="005E3B7D">
        <w:rPr>
          <w:color w:val="000000"/>
        </w:rPr>
        <w:t>, wysokość do 4,0 m n.p.t., dach płaski lub jedno- bądź dwuspadowy o kącie nachylenia do 12 stopni,</w:t>
      </w:r>
    </w:p>
    <w:p w:rsidR="005E3B7D" w:rsidRDefault="005E3B7D" w:rsidP="005E3B7D">
      <w:pPr>
        <w:ind w:left="426"/>
      </w:pPr>
      <w:r w:rsidRPr="005E3B7D">
        <w:rPr>
          <w:color w:val="000000"/>
        </w:rPr>
        <w:lastRenderedPageBreak/>
        <w:t>- wysokość ogrodzenia do 3,0 m, ogrodzenie z siatki, bez podmurówki.</w:t>
      </w:r>
    </w:p>
    <w:p w:rsidR="00AA0040" w:rsidRPr="00051258" w:rsidRDefault="00AA0040" w:rsidP="00AA0040">
      <w:pPr>
        <w:numPr>
          <w:ilvl w:val="1"/>
          <w:numId w:val="4"/>
        </w:numPr>
        <w:rPr>
          <w:b/>
        </w:rPr>
      </w:pPr>
      <w:r w:rsidRPr="00051258">
        <w:rPr>
          <w:b/>
        </w:rPr>
        <w:t>Warunki ochrony środowiska, zdrowia i życia ludzi, przyrody i krajobrazu:</w:t>
      </w:r>
    </w:p>
    <w:p w:rsidR="005E3B7D" w:rsidRPr="005E3B7D" w:rsidRDefault="005E3B7D" w:rsidP="005E3B7D">
      <w:pPr>
        <w:numPr>
          <w:ilvl w:val="0"/>
          <w:numId w:val="6"/>
        </w:numPr>
        <w:ind w:left="426"/>
      </w:pPr>
      <w:r w:rsidRPr="005E3B7D">
        <w:t>planowana inwestycja jest przedsięwzięciem mogącym znacząco oddziaływać na środowisko - zgodnie z rozporządzeniem Rady Ministrów  z dnia 10 września 2019 r. w sprawie przedsięwzięć mogących znacząco oddziaływać na środowisko (Dz. U.                      z 2019 r. poz. 1839 z późn. zm.). Realizacja inwestycji zgodnie z decyzją o środowiskowych uwarunkowaniach z dnia 11 kwietnia 2024 r. (OŚ.6220.17.2023) wydanej przez Burmistrza Sulejowa.</w:t>
      </w:r>
    </w:p>
    <w:p w:rsidR="005E3B7D" w:rsidRPr="005E3B7D" w:rsidRDefault="005E3B7D" w:rsidP="005E3B7D">
      <w:pPr>
        <w:numPr>
          <w:ilvl w:val="0"/>
          <w:numId w:val="6"/>
        </w:numPr>
        <w:ind w:left="426"/>
      </w:pPr>
      <w:r w:rsidRPr="005E3B7D">
        <w:t>planowana inwestycja winna być zgodna z ustawą z dnia 27 kwietnia 2001 r. Prawo ochrony środowiska (t.j. Dz. U. z 2024 r. poz. 54), z ustawą z dnia 3  października 2008 r. o udostępnianiu informacji o środowisku i jego ochronie, udziale społeczeństwa  w ochronie środowiska oraz o ocenach oddziaływania na środowisko (t.j. Dz. U. z 2023 r. poz. 1094 z późn. zm.) i z ustawą z dnia 16 kwietnia 2004 r. o ochronie przyrody (t.j. Dz. U. z 2023 r. poz. 1336 z późn. zm.),</w:t>
      </w:r>
    </w:p>
    <w:p w:rsidR="005E3B7D" w:rsidRPr="005E3B7D" w:rsidRDefault="005E3B7D" w:rsidP="005E3B7D">
      <w:pPr>
        <w:numPr>
          <w:ilvl w:val="0"/>
          <w:numId w:val="6"/>
        </w:numPr>
        <w:ind w:left="426"/>
      </w:pPr>
      <w:r w:rsidRPr="005E3B7D">
        <w:t>w przypadku kolizji istniejących drzew i krzewów z projektowaną inwestycją, jeśli na ich wycięcie lub przesadzenie wymagane jest oddzielne zezwolenie – zgodnie z wymogami             z dnia 16 kwietnia 2004 r. o ochronie przyrody (t.j. Dz. U. z 2023 r. poz. 1336 z późn. zm.) – z wnioskiem w tej sprawie należy wystąpić do właściwego organu,</w:t>
      </w:r>
    </w:p>
    <w:p w:rsidR="005E3B7D" w:rsidRPr="005E3B7D" w:rsidRDefault="005E3B7D" w:rsidP="005E3B7D">
      <w:pPr>
        <w:numPr>
          <w:ilvl w:val="0"/>
          <w:numId w:val="6"/>
        </w:numPr>
        <w:ind w:left="426"/>
      </w:pPr>
      <w:r w:rsidRPr="005E3B7D">
        <w:t>planowana inwestycja winna być realizowana na zasadach przewidzianych  w przepisach, w tym techniczno – budowlanych, zgodnie z art. 5 ustawy z dnia  7 lipca 1994r. – Prawo budowlane (t.j. Dz. U. z 2024 r. poz. 725),</w:t>
      </w:r>
    </w:p>
    <w:p w:rsidR="005E3B7D" w:rsidRPr="005E3B7D" w:rsidRDefault="005E3B7D" w:rsidP="005E3B7D">
      <w:pPr>
        <w:numPr>
          <w:ilvl w:val="0"/>
          <w:numId w:val="6"/>
        </w:numPr>
        <w:ind w:left="426"/>
      </w:pPr>
      <w:r w:rsidRPr="005E3B7D">
        <w:t>wnioskowaną inwestycję należy zaprojektować i zrealizować zgodnie z zasadami wiedzy technicznej, obowiązującymi Normami Polskimi i przepisami, z uwzględnieniem wymagań wynikających z Rozporządzenia Ministra Infrastruktury z dnia 12 kwietnia 2002 r. w sprawie warunków technicznych jakim powinny odpowiadać budynki i ich usytuowanie (t.j. Dz. U. z 2022 r. poz. 1225 z późn. zm.), a także zgodnie z innymi przepisami szczególnymi wynikającymi ze specyfikacji planowanej inwestycji i jej usytuowania,</w:t>
      </w:r>
    </w:p>
    <w:p w:rsidR="005E3B7D" w:rsidRPr="005E3B7D" w:rsidRDefault="005E3B7D" w:rsidP="005E3B7D">
      <w:pPr>
        <w:numPr>
          <w:ilvl w:val="0"/>
          <w:numId w:val="6"/>
        </w:numPr>
        <w:ind w:left="426"/>
      </w:pPr>
      <w:r w:rsidRPr="005E3B7D">
        <w:t xml:space="preserve">przy realizacji inwestycji należy spełnić warunki wynikające z ustawy z dnia 18 lipca 2001r. Prawo wodne (t.j. Dz. U. z 2023 r. poz. 1478 z późn. zm.),  </w:t>
      </w:r>
    </w:p>
    <w:p w:rsidR="005E3B7D" w:rsidRPr="005E3B7D" w:rsidRDefault="005E3B7D" w:rsidP="005E3B7D">
      <w:pPr>
        <w:numPr>
          <w:ilvl w:val="0"/>
          <w:numId w:val="6"/>
        </w:numPr>
        <w:ind w:left="426"/>
      </w:pPr>
      <w:r w:rsidRPr="005E3B7D">
        <w:rPr>
          <w:bCs/>
        </w:rPr>
        <w:lastRenderedPageBreak/>
        <w:t>przyjęte rozwiązania projektowe winny gwarantować pełną ochronę gleby, wód podziemnych i atmosfery  przed przedostawaniem się zanieczyszczeń  powstających w trakcie realizacji i eksploatacji obiektu,</w:t>
      </w:r>
    </w:p>
    <w:p w:rsidR="005E3B7D" w:rsidRPr="005E3B7D" w:rsidRDefault="005E3B7D" w:rsidP="005E3B7D">
      <w:pPr>
        <w:numPr>
          <w:ilvl w:val="0"/>
          <w:numId w:val="6"/>
        </w:numPr>
        <w:ind w:left="426"/>
      </w:pPr>
      <w:r w:rsidRPr="005E3B7D">
        <w:t xml:space="preserve">inwestycja </w:t>
      </w:r>
      <w:r w:rsidRPr="005E3B7D">
        <w:rPr>
          <w:color w:val="000000"/>
        </w:rPr>
        <w:t>realizowana będzie w granicach otuliny „Sulejowskiego Parku Krajobrazowego”,</w:t>
      </w:r>
    </w:p>
    <w:p w:rsidR="005E3B7D" w:rsidRPr="0007497C" w:rsidRDefault="005E3B7D" w:rsidP="005E3B7D">
      <w:pPr>
        <w:numPr>
          <w:ilvl w:val="0"/>
          <w:numId w:val="6"/>
        </w:numPr>
        <w:ind w:left="426"/>
      </w:pPr>
      <w:r w:rsidRPr="005E3B7D">
        <w:t>teren inwestycji nie jest położony w obszarze Natura 2000.</w:t>
      </w:r>
    </w:p>
    <w:p w:rsidR="00AA0040" w:rsidRPr="00051258" w:rsidRDefault="00AA0040" w:rsidP="00AA0040">
      <w:pPr>
        <w:numPr>
          <w:ilvl w:val="1"/>
          <w:numId w:val="4"/>
        </w:numPr>
        <w:rPr>
          <w:b/>
        </w:rPr>
      </w:pPr>
      <w:r w:rsidRPr="00051258">
        <w:rPr>
          <w:b/>
        </w:rPr>
        <w:t>Warunki i wymagania ochrony dziedzictwa kulturowego i zabytków oraz dóbr kultury współczesnej:</w:t>
      </w:r>
    </w:p>
    <w:p w:rsidR="00AA0040" w:rsidRPr="00051258" w:rsidRDefault="00AA0040" w:rsidP="00AA0040">
      <w:pPr>
        <w:rPr>
          <w:color w:val="000000"/>
        </w:rPr>
      </w:pPr>
      <w:r w:rsidRPr="00051258">
        <w:rPr>
          <w:color w:val="000000"/>
        </w:rPr>
        <w:t xml:space="preserve">Osoby prowadzące roboty budowlane i ziemne w razie ujawnienia przedmiotu, co do którego istnieje przypuszczenie, iż jest ona zabytkiem archeologicznym, są obowiązane przy użyciu dostępnych środków zabezpieczyć ten przedmiot i oznakować miejsce jego znalezienia oraz niezwłocznie zawiadomić o znalezieniu tego przedmiotu Wojewódzkiego Konserwatora Zabytków </w:t>
      </w:r>
      <w:r w:rsidRPr="00051258">
        <w:t>(Łódzki Wojewódzki Konserwator Zabytków – ul. Piotrkowska 99, 90-425 Łódź), a jeśli nie jest to możliwe Burmistrza Sulejowa.</w:t>
      </w:r>
    </w:p>
    <w:p w:rsidR="00AA0040" w:rsidRPr="00051258" w:rsidRDefault="00AA0040" w:rsidP="00AA0040">
      <w:r w:rsidRPr="00051258">
        <w:t>Projektowane przedsięwzięcie nie może stwarzać zagroże</w:t>
      </w:r>
      <w:r>
        <w:t xml:space="preserve">nia dla zdrowia ludzi a także </w:t>
      </w:r>
      <w:r w:rsidRPr="00051258">
        <w:t>oddziaływać niekorzystnie na chronione obiekty dziedzictwa kulturowego.</w:t>
      </w:r>
    </w:p>
    <w:p w:rsidR="00AA0040" w:rsidRPr="00051258" w:rsidRDefault="00AA0040" w:rsidP="00AA0040">
      <w:pPr>
        <w:numPr>
          <w:ilvl w:val="1"/>
          <w:numId w:val="4"/>
        </w:numPr>
        <w:rPr>
          <w:b/>
        </w:rPr>
      </w:pPr>
      <w:r w:rsidRPr="00051258">
        <w:rPr>
          <w:b/>
        </w:rPr>
        <w:t>Obsługa w zakresie infrastruktury technicznej i komunikacji:</w:t>
      </w:r>
    </w:p>
    <w:p w:rsidR="005E3B7D" w:rsidRDefault="00AA0040" w:rsidP="005E3B7D">
      <w:pPr>
        <w:numPr>
          <w:ilvl w:val="0"/>
          <w:numId w:val="7"/>
        </w:numPr>
        <w:ind w:left="284" w:hanging="284"/>
      </w:pPr>
      <w:r w:rsidRPr="00051258">
        <w:t>realizacja infrastruktury technicznej i obsługi komunikacyjnej zgodnie z przepisami na warunkach zarządców sieci, dróg,</w:t>
      </w:r>
    </w:p>
    <w:p w:rsidR="005E3B7D" w:rsidRPr="005E3B7D" w:rsidRDefault="005E3B7D" w:rsidP="005E3B7D">
      <w:pPr>
        <w:numPr>
          <w:ilvl w:val="0"/>
          <w:numId w:val="7"/>
        </w:numPr>
        <w:ind w:left="284" w:hanging="284"/>
      </w:pPr>
      <w:r w:rsidRPr="005E3B7D">
        <w:rPr>
          <w:bCs/>
        </w:rPr>
        <w:t>woda –  nie dotyczy,</w:t>
      </w:r>
    </w:p>
    <w:p w:rsidR="005E3B7D" w:rsidRPr="005E3B7D" w:rsidRDefault="005E3B7D" w:rsidP="005E3B7D">
      <w:pPr>
        <w:numPr>
          <w:ilvl w:val="0"/>
          <w:numId w:val="7"/>
        </w:numPr>
        <w:ind w:left="284" w:hanging="284"/>
      </w:pPr>
      <w:r w:rsidRPr="005E3B7D">
        <w:rPr>
          <w:bCs/>
        </w:rPr>
        <w:t xml:space="preserve">energia elektryczna – </w:t>
      </w:r>
      <w:r w:rsidRPr="005E3B7D">
        <w:t>przyłączenie przedsięwzięcia do sieci elektroenergetycznej                         i urządzeń na warunkach określonych przez gestora w Warunkach Technicznych Przyłączenia lub w razie konieczności z agregatu prądotwórczego. Oświadczenie o zapewnieniu dostaw energii elektrycznej oraz warunków przyłączenia obiektu budowlanego do sieci dystrybucyjnej z dnia 1 grudnia 2023 r. (L. dz./PGED1237403 KW23/2023 23-D0/WZD/00574/MG).</w:t>
      </w:r>
    </w:p>
    <w:p w:rsidR="005E3B7D" w:rsidRPr="005E3B7D" w:rsidRDefault="005E3B7D" w:rsidP="005E3B7D">
      <w:pPr>
        <w:numPr>
          <w:ilvl w:val="0"/>
          <w:numId w:val="7"/>
        </w:numPr>
        <w:ind w:left="284" w:hanging="284"/>
      </w:pPr>
      <w:r w:rsidRPr="005E3B7D">
        <w:rPr>
          <w:bCs/>
        </w:rPr>
        <w:t>zaopatrzenie w energię cieplną – nie dotyczy,</w:t>
      </w:r>
    </w:p>
    <w:p w:rsidR="005E3B7D" w:rsidRPr="005E3B7D" w:rsidRDefault="005E3B7D" w:rsidP="005E3B7D">
      <w:pPr>
        <w:numPr>
          <w:ilvl w:val="0"/>
          <w:numId w:val="7"/>
        </w:numPr>
        <w:ind w:left="284" w:hanging="284"/>
      </w:pPr>
      <w:r w:rsidRPr="005E3B7D">
        <w:rPr>
          <w:bCs/>
        </w:rPr>
        <w:t>odprowadzenie wód opadowych – powierzchniowe na terenie własnej nieruchomości,</w:t>
      </w:r>
    </w:p>
    <w:p w:rsidR="005E3B7D" w:rsidRPr="005E3B7D" w:rsidRDefault="005E3B7D" w:rsidP="005E3B7D">
      <w:pPr>
        <w:numPr>
          <w:ilvl w:val="0"/>
          <w:numId w:val="7"/>
        </w:numPr>
        <w:ind w:left="284" w:hanging="284"/>
      </w:pPr>
      <w:r w:rsidRPr="005E3B7D">
        <w:rPr>
          <w:bCs/>
        </w:rPr>
        <w:t>odprowadzenie ścieków – nie dotyczy,</w:t>
      </w:r>
    </w:p>
    <w:p w:rsidR="005E3B7D" w:rsidRPr="005E3B7D" w:rsidRDefault="005E3B7D" w:rsidP="005E3B7D">
      <w:pPr>
        <w:numPr>
          <w:ilvl w:val="0"/>
          <w:numId w:val="7"/>
        </w:numPr>
        <w:ind w:left="284" w:hanging="284"/>
      </w:pPr>
      <w:r w:rsidRPr="005E3B7D">
        <w:rPr>
          <w:bCs/>
        </w:rPr>
        <w:t>sposób gospodarowania odpadami – nie dotyczy,</w:t>
      </w:r>
    </w:p>
    <w:p w:rsidR="0007497C" w:rsidRPr="005E3B7D" w:rsidRDefault="005E3B7D" w:rsidP="00AA0040">
      <w:pPr>
        <w:numPr>
          <w:ilvl w:val="0"/>
          <w:numId w:val="7"/>
        </w:numPr>
        <w:ind w:left="284" w:hanging="284"/>
      </w:pPr>
      <w:r w:rsidRPr="005E3B7D">
        <w:rPr>
          <w:bCs/>
        </w:rPr>
        <w:t xml:space="preserve">obsługa komunikacyjna – z drogi wewnętrznej </w:t>
      </w:r>
      <w:r w:rsidRPr="005E3B7D">
        <w:t>(działka  nr ewid. 697 obręb 0003 Biała)</w:t>
      </w:r>
      <w:r w:rsidRPr="005E3B7D">
        <w:rPr>
          <w:bCs/>
        </w:rPr>
        <w:t xml:space="preserve"> poprzez projektowany zjazd.  </w:t>
      </w:r>
    </w:p>
    <w:p w:rsidR="00AA0040" w:rsidRPr="00051258" w:rsidRDefault="00AA0040" w:rsidP="00AA0040">
      <w:r w:rsidRPr="00051258">
        <w:lastRenderedPageBreak/>
        <w:t>Na przebieg przyłączy infrastruktury technicznej przez działki nie stanowiące własności inwestora, należy uzyskać zgodę właściciela.</w:t>
      </w:r>
    </w:p>
    <w:p w:rsidR="00AA0040" w:rsidRPr="00051258" w:rsidRDefault="00AA0040" w:rsidP="00AA0040">
      <w:r w:rsidRPr="00051258">
        <w:t>Lokalizacja przyłączy infrastruktury technicznej związanych z projektowanym obiektem, poza terenem w liniach rozgraniczających, jest zgodna z niniejszą decyzją pod warunkiem uzyskania stosownych uzgodnień, decyzji czy opin</w:t>
      </w:r>
      <w:r>
        <w:t>ii wymaganych przepisami prawa.</w:t>
      </w:r>
    </w:p>
    <w:p w:rsidR="00AA0040" w:rsidRPr="00051258" w:rsidRDefault="00AA0040" w:rsidP="00AA0040">
      <w:pPr>
        <w:numPr>
          <w:ilvl w:val="0"/>
          <w:numId w:val="3"/>
        </w:numPr>
        <w:rPr>
          <w:b/>
        </w:rPr>
      </w:pPr>
      <w:r w:rsidRPr="00051258">
        <w:rPr>
          <w:b/>
        </w:rPr>
        <w:t>Wymagania dotyczące ochrony interesów osób trzecich:</w:t>
      </w:r>
    </w:p>
    <w:p w:rsidR="00AA0040" w:rsidRPr="00051258" w:rsidRDefault="00AA0040" w:rsidP="005E3C25">
      <w:pPr>
        <w:numPr>
          <w:ilvl w:val="0"/>
          <w:numId w:val="8"/>
        </w:numPr>
        <w:ind w:left="284" w:hanging="284"/>
      </w:pPr>
      <w:r w:rsidRPr="00051258">
        <w:t>planowana inwestycja winna być realizowana na zasadach przewidzianych w przepisach, w tym techniczno – budowlanych, zgodnie z art. 5 ustawy z dnia 7 lipca 1994 r. – Prawo budowlane (t.j. Dz. U. z 2023 r. poz. 682 z późn. zm.).</w:t>
      </w:r>
    </w:p>
    <w:p w:rsidR="00AA0040" w:rsidRPr="00051258" w:rsidRDefault="00AA0040" w:rsidP="005E3C25">
      <w:pPr>
        <w:numPr>
          <w:ilvl w:val="0"/>
          <w:numId w:val="8"/>
        </w:numPr>
        <w:ind w:left="284" w:hanging="284"/>
      </w:pPr>
      <w:r w:rsidRPr="00051258">
        <w:t>planowana inwestycja na etapie wykonywania i użytkowania nie może powodować ograniczenia użytkowania terenów sąsiednich, zgodnie z ich przeznaczeniem, poprzez ochronę przed:</w:t>
      </w:r>
    </w:p>
    <w:p w:rsidR="00AA0040" w:rsidRPr="00051258" w:rsidRDefault="00AA0040" w:rsidP="00AA0040">
      <w:pPr>
        <w:numPr>
          <w:ilvl w:val="0"/>
          <w:numId w:val="9"/>
        </w:numPr>
        <w:ind w:left="426"/>
      </w:pPr>
      <w:r w:rsidRPr="00051258">
        <w:t>pozbawienia:</w:t>
      </w:r>
    </w:p>
    <w:p w:rsidR="00AA0040" w:rsidRPr="00051258" w:rsidRDefault="00AA0040" w:rsidP="00AA0040">
      <w:pPr>
        <w:numPr>
          <w:ilvl w:val="0"/>
          <w:numId w:val="10"/>
        </w:numPr>
      </w:pPr>
      <w:r w:rsidRPr="00051258">
        <w:t>dostępu do drogi publicznej,</w:t>
      </w:r>
    </w:p>
    <w:p w:rsidR="00AA0040" w:rsidRPr="00051258" w:rsidRDefault="00AA0040" w:rsidP="00AA0040">
      <w:pPr>
        <w:numPr>
          <w:ilvl w:val="0"/>
          <w:numId w:val="10"/>
        </w:numPr>
      </w:pPr>
      <w:r w:rsidRPr="00051258">
        <w:t>możliwości korzystania z wody, kanalizacji, energii elektrycznej i cieplnej oraz środków łączności,</w:t>
      </w:r>
    </w:p>
    <w:p w:rsidR="00AA0040" w:rsidRPr="00051258" w:rsidRDefault="00AA0040" w:rsidP="00AA0040">
      <w:pPr>
        <w:numPr>
          <w:ilvl w:val="0"/>
          <w:numId w:val="10"/>
        </w:numPr>
      </w:pPr>
      <w:r w:rsidRPr="00051258">
        <w:t>dostępu światła dziennego do pomieszczeń przeznaczonych na pobyt ludzi,</w:t>
      </w:r>
    </w:p>
    <w:p w:rsidR="00AA0040" w:rsidRPr="00051258" w:rsidRDefault="00AA0040" w:rsidP="00AA0040">
      <w:pPr>
        <w:numPr>
          <w:ilvl w:val="0"/>
          <w:numId w:val="9"/>
        </w:numPr>
        <w:ind w:left="426"/>
      </w:pPr>
      <w:r w:rsidRPr="00051258">
        <w:t>uciążliwościami powodowanymi przez hałas, wibracje, zakłócenia elektryczne i promieniowanie,</w:t>
      </w:r>
    </w:p>
    <w:p w:rsidR="00AA0040" w:rsidRPr="00051258" w:rsidRDefault="00AA0040" w:rsidP="00AA0040">
      <w:pPr>
        <w:numPr>
          <w:ilvl w:val="0"/>
          <w:numId w:val="9"/>
        </w:numPr>
        <w:ind w:left="426"/>
      </w:pPr>
      <w:r w:rsidRPr="00051258">
        <w:t>zanieczyszczeniem powietrza, wody i gleby.</w:t>
      </w:r>
    </w:p>
    <w:p w:rsidR="00AA0040" w:rsidRPr="00051258" w:rsidRDefault="00AA0040" w:rsidP="005E3C25">
      <w:pPr>
        <w:numPr>
          <w:ilvl w:val="0"/>
          <w:numId w:val="8"/>
        </w:numPr>
        <w:ind w:left="426" w:hanging="426"/>
      </w:pPr>
      <w:r w:rsidRPr="00051258">
        <w:t>w przypadku kolizji inwestycji z istniejącą infrastrukturą techniczną należy usunąć je w uzgodnieniu z właściwymi gestorami sieci,</w:t>
      </w:r>
    </w:p>
    <w:p w:rsidR="005E3B7D" w:rsidRDefault="00AA0040" w:rsidP="005E3B7D">
      <w:pPr>
        <w:numPr>
          <w:ilvl w:val="0"/>
          <w:numId w:val="8"/>
        </w:numPr>
        <w:ind w:left="426" w:hanging="426"/>
      </w:pPr>
      <w:r w:rsidRPr="00051258">
        <w:t>w przypadku stwierdzenia na przedmiotowym obszarze urządzeń melioracji wodnych kolidujących z realizowaną inwestycją, inwestor zobowiązany jest we własnym zakresie do przebudowy urządzeń zgodnie z przepisami ustawy z dnia 20 lipca 2017 r.</w:t>
      </w:r>
      <w:r w:rsidR="005E3C25">
        <w:t xml:space="preserve"> Prawo wodne (t.j. Dz. U. z 2023</w:t>
      </w:r>
      <w:r w:rsidRPr="00051258">
        <w:t xml:space="preserve"> r. poz. </w:t>
      </w:r>
      <w:r w:rsidR="005E3C25">
        <w:t>1478</w:t>
      </w:r>
      <w:r w:rsidR="005E3B7D">
        <w:t xml:space="preserve"> z późn. zm.),</w:t>
      </w:r>
    </w:p>
    <w:p w:rsidR="005E3B7D" w:rsidRPr="00051258" w:rsidRDefault="005E3B7D" w:rsidP="005E3B7D">
      <w:pPr>
        <w:numPr>
          <w:ilvl w:val="0"/>
          <w:numId w:val="8"/>
        </w:numPr>
        <w:ind w:left="426" w:hanging="426"/>
      </w:pPr>
      <w:r w:rsidRPr="005E3B7D">
        <w:t>ustala się nakaz by wszelkie uciążliwości generowane przez farmę</w:t>
      </w:r>
      <w:r w:rsidRPr="005E3B7D">
        <w:rPr>
          <w:color w:val="000000"/>
        </w:rPr>
        <w:t xml:space="preserve"> fotowoltaiczną</w:t>
      </w:r>
      <w:r w:rsidRPr="005E3B7D">
        <w:t xml:space="preserve"> zawierały się w granicach do których inwestor posiada tytuł prawny.</w:t>
      </w:r>
    </w:p>
    <w:p w:rsidR="00AA0040" w:rsidRPr="00051258" w:rsidRDefault="00AA0040" w:rsidP="00AA0040">
      <w:pPr>
        <w:numPr>
          <w:ilvl w:val="0"/>
          <w:numId w:val="3"/>
        </w:numPr>
        <w:rPr>
          <w:b/>
        </w:rPr>
      </w:pPr>
      <w:r w:rsidRPr="00051258">
        <w:rPr>
          <w:b/>
        </w:rPr>
        <w:t>Ochrona obiektów budowlanych na terenach górniczych:</w:t>
      </w:r>
    </w:p>
    <w:p w:rsidR="00AA0040" w:rsidRPr="00051258" w:rsidRDefault="00AA0040" w:rsidP="00AA0040">
      <w:r w:rsidRPr="00051258">
        <w:t xml:space="preserve">Nieruchomość objęta niniejszą decyzją, jest zlokalizowana poza terenami górniczymi, w związku z tym realizacja przedsięwzięcia inwestycyjnego nie podlega wymogom i </w:t>
      </w:r>
      <w:r w:rsidRPr="00051258">
        <w:lastRenderedPageBreak/>
        <w:t>uwarunkowaniom określonym w ustawie z dnia 9 czerwca 2011 r. Prawo geologiczne i górnicze (t.j. Dz. U. z 2023 r. poz. 633</w:t>
      </w:r>
      <w:r w:rsidR="005E3C25">
        <w:t xml:space="preserve"> z późn. zm.</w:t>
      </w:r>
      <w:r w:rsidRPr="00051258">
        <w:t>)</w:t>
      </w:r>
    </w:p>
    <w:p w:rsidR="005E3C25" w:rsidRDefault="00AA0040" w:rsidP="005E3C25">
      <w:pPr>
        <w:numPr>
          <w:ilvl w:val="0"/>
          <w:numId w:val="3"/>
        </w:numPr>
        <w:rPr>
          <w:b/>
        </w:rPr>
      </w:pPr>
      <w:r w:rsidRPr="00051258">
        <w:rPr>
          <w:b/>
        </w:rPr>
        <w:t>Warunków wynikających z przepisów odrębnych.</w:t>
      </w:r>
    </w:p>
    <w:p w:rsidR="005E3B7D" w:rsidRDefault="005E3C25" w:rsidP="005E3B7D">
      <w:r w:rsidRPr="005E3C25">
        <w:rPr>
          <w:bCs/>
        </w:rPr>
        <w:t>Wnioskowaną inwestycję</w:t>
      </w:r>
      <w:r w:rsidRPr="005E3C25">
        <w:t xml:space="preserve"> należy zaprojektować i zrealizować zgodnie z zasadami wiedzy technicznej, obowiązującymi Normami Polskimi i przepisami, z uwzględnieniem wymagań wynikających z Rozporządzenia Ministra Infrastruktury z dnia 12 kwietnia 2002 r. w sprawie warunków technicznych jakim powinny odpowiadać budynki i ich usytuowanie (t.j. Dz. U.                       z 2022 r. poz. 1225 z późn. zm.), a także zgodnie z innymi przepisami szczególnymi wynikającymi ze specyfikacji planowanej inwestycji i jej usytuowania.</w:t>
      </w:r>
    </w:p>
    <w:p w:rsidR="005E3B7D" w:rsidRDefault="005E3B7D" w:rsidP="005E3B7D">
      <w:r w:rsidRPr="005E3B7D">
        <w:t>Projekt budowlany winien spełniać warunki określone w:</w:t>
      </w:r>
    </w:p>
    <w:p w:rsidR="005E3B7D" w:rsidRDefault="005E3B7D" w:rsidP="005E3B7D">
      <w:r>
        <w:t xml:space="preserve">- </w:t>
      </w:r>
      <w:r w:rsidRPr="005E3B7D">
        <w:t>ustawie z dnia 7 lipca1994 r. – Prawo budowlane (t.j. Dz. U. z 2024 r. poz. 725),</w:t>
      </w:r>
    </w:p>
    <w:p w:rsidR="005E3B7D" w:rsidRDefault="005E3B7D" w:rsidP="005E3B7D">
      <w:r>
        <w:t xml:space="preserve">- </w:t>
      </w:r>
      <w:r w:rsidRPr="005E3B7D">
        <w:t>ustawie z dnia 3 lutego 1995 r. o ochronie gruntów rolnych i leśnych (t.j. Dz. U. z 2024 r. poz. 82),</w:t>
      </w:r>
    </w:p>
    <w:p w:rsidR="005E3B7D" w:rsidRDefault="005E3B7D" w:rsidP="005E3B7D">
      <w:r>
        <w:t xml:space="preserve">- </w:t>
      </w:r>
      <w:r w:rsidRPr="005E3B7D">
        <w:t>ustawie z dnia 21 marca 1985 r. o drogach publicznych (t.j. Dz. U. z 2024 r. poz. 320),</w:t>
      </w:r>
    </w:p>
    <w:p w:rsidR="005E3B7D" w:rsidRDefault="005E3B7D" w:rsidP="005E3B7D">
      <w:r>
        <w:t xml:space="preserve">- </w:t>
      </w:r>
      <w:r w:rsidRPr="005E3B7D">
        <w:t>ustawie z dnia 27 kwietnia 2001 r. Prawo ochrony środowiska (t.j. Dz. U. z 2024 r. poz. 54),</w:t>
      </w:r>
    </w:p>
    <w:p w:rsidR="005E3B7D" w:rsidRDefault="005E3B7D" w:rsidP="005E3B7D">
      <w:r>
        <w:t xml:space="preserve">- </w:t>
      </w:r>
      <w:r w:rsidRPr="005E3B7D">
        <w:t>ustawy z dnia 20 lipca 2017 r. Prawo wodne (t.j. Dz. U. z 2023 r. poz. 1478 z późn. zm.).</w:t>
      </w:r>
    </w:p>
    <w:p w:rsidR="005E3B7D" w:rsidRDefault="005E3B7D" w:rsidP="005E3B7D">
      <w:pPr>
        <w:rPr>
          <w:color w:val="000000"/>
        </w:rPr>
      </w:pPr>
      <w:r w:rsidRPr="005E3B7D">
        <w:t xml:space="preserve">Forma projektu budowlanego powinna być zgodna z wymogami określonymi w Rozporządzeniem Ministra Rozwoju z dnia 11 września 2020 r. (t.j. Dz. U.  z 2022 r. poz. 1679) oraz </w:t>
      </w:r>
      <w:r w:rsidRPr="005E3B7D">
        <w:rPr>
          <w:color w:val="000000"/>
        </w:rPr>
        <w:t>zgodnie z art. 5 ustawy Prawo budowlane (t.j. Dz. U. z 2024 r. poz. 725).</w:t>
      </w:r>
    </w:p>
    <w:p w:rsidR="005E3B7D" w:rsidRPr="005E3B7D" w:rsidRDefault="005E3B7D" w:rsidP="005E3B7D">
      <w:r w:rsidRPr="005E3B7D">
        <w:t>Projekt ten, powinien posiadać komplet opinii i uzgodnień wymaganych dla tego rodzaju inwestycji, wynikających z przepisów szczególnych.</w:t>
      </w:r>
    </w:p>
    <w:p w:rsidR="005E3C25" w:rsidRDefault="00AA0040" w:rsidP="005E3C25">
      <w:pPr>
        <w:numPr>
          <w:ilvl w:val="0"/>
          <w:numId w:val="3"/>
        </w:numPr>
        <w:rPr>
          <w:b/>
        </w:rPr>
      </w:pPr>
      <w:r w:rsidRPr="009B7FAE">
        <w:rPr>
          <w:b/>
        </w:rPr>
        <w:t>Projekt decyzji został uzgodniony:</w:t>
      </w:r>
    </w:p>
    <w:p w:rsidR="005E3C25" w:rsidRDefault="005E3C25" w:rsidP="00B514D5">
      <w:r w:rsidRPr="005E3C25">
        <w:t>- Starostą Powiatu Piotrkowskiego w zak</w:t>
      </w:r>
      <w:r w:rsidR="00880FD6">
        <w:t>resie ochrony gruntów rolnych: Postanowienie z dnia 26.06.2024 r. znak: GBR.673.9.146.2024.IŚ</w:t>
      </w:r>
    </w:p>
    <w:p w:rsidR="005E3C25" w:rsidRDefault="005E3C25" w:rsidP="00B514D5">
      <w:r w:rsidRPr="005E3C25">
        <w:t>- Organem właściwym w zakresie melioracji wodnych:</w:t>
      </w:r>
      <w:r w:rsidR="00880FD6">
        <w:t xml:space="preserve"> </w:t>
      </w:r>
      <w:r w:rsidR="00880FD6" w:rsidRPr="007C5DAC">
        <w:rPr>
          <w:szCs w:val="22"/>
          <w:lang w:val="x-none"/>
        </w:rPr>
        <w:t>zgodnie z art. 53 ust. 5 w przypadku niezajęcia stanowiska przez organ uzgadniający w terminie 2 tygodni od dnia doręczenia wystąpienia o uzgodnienie – uzgodnienie uważa się za dokonane.</w:t>
      </w:r>
    </w:p>
    <w:p w:rsidR="005E3C25" w:rsidRPr="005E3C25" w:rsidRDefault="005E3C25" w:rsidP="00B514D5">
      <w:r w:rsidRPr="005E3C25">
        <w:t xml:space="preserve">- Regionalnym Dyrektorem Ochrony Środowiska w zakresie terenów objętych ochroną na   </w:t>
      </w:r>
    </w:p>
    <w:p w:rsidR="005E3C25" w:rsidRDefault="005E3C25" w:rsidP="00977C48">
      <w:pPr>
        <w:pStyle w:val="Tekstpodstawowywcity"/>
        <w:tabs>
          <w:tab w:val="clear" w:pos="360"/>
        </w:tabs>
        <w:spacing w:line="360" w:lineRule="auto"/>
        <w:ind w:left="0" w:firstLine="0"/>
        <w:jc w:val="left"/>
        <w:rPr>
          <w:rFonts w:ascii="Calibri" w:hAnsi="Calibri"/>
          <w:b w:val="0"/>
        </w:rPr>
      </w:pPr>
      <w:r w:rsidRPr="005E3C25">
        <w:rPr>
          <w:rFonts w:ascii="Calibri" w:hAnsi="Calibri"/>
          <w:b w:val="0"/>
        </w:rPr>
        <w:t>podstawie przepisów o ochronie przyrody:</w:t>
      </w:r>
      <w:r w:rsidR="00880FD6">
        <w:rPr>
          <w:rFonts w:ascii="Calibri" w:hAnsi="Calibri"/>
          <w:b w:val="0"/>
        </w:rPr>
        <w:t xml:space="preserve"> </w:t>
      </w:r>
      <w:r w:rsidR="00880FD6" w:rsidRPr="00880FD6">
        <w:rPr>
          <w:rFonts w:ascii="Calibri" w:hAnsi="Calibri"/>
          <w:b w:val="0"/>
        </w:rPr>
        <w:t>zgodnie z art. 53</w:t>
      </w:r>
      <w:r w:rsidR="00977C48">
        <w:rPr>
          <w:rFonts w:ascii="Calibri" w:hAnsi="Calibri"/>
          <w:b w:val="0"/>
        </w:rPr>
        <w:t xml:space="preserve"> ust. 5 niewyrażenie stanowiska </w:t>
      </w:r>
      <w:r w:rsidR="00880FD6" w:rsidRPr="00880FD6">
        <w:rPr>
          <w:rFonts w:ascii="Calibri" w:hAnsi="Calibri"/>
          <w:b w:val="0"/>
        </w:rPr>
        <w:t xml:space="preserve">w terminie 21 dni od dnia otrzymania projektu decyzji, </w:t>
      </w:r>
      <w:r w:rsidR="00977C48">
        <w:rPr>
          <w:rFonts w:ascii="Calibri" w:hAnsi="Calibri"/>
          <w:b w:val="0"/>
        </w:rPr>
        <w:t xml:space="preserve">o której mowa w art. 51 ust. 1, </w:t>
      </w:r>
      <w:r w:rsidR="00880FD6" w:rsidRPr="00880FD6">
        <w:rPr>
          <w:rFonts w:ascii="Calibri" w:hAnsi="Calibri"/>
          <w:b w:val="0"/>
        </w:rPr>
        <w:t>przez regionalnego dyrektora ochrony środowiska uznaje się za uzgodnienie decyzji.</w:t>
      </w:r>
    </w:p>
    <w:p w:rsidR="00D83E99" w:rsidRPr="007C5DAC" w:rsidRDefault="005E3C25" w:rsidP="00D83E99">
      <w:pPr>
        <w:pStyle w:val="Tekstpodstawowywcity"/>
        <w:tabs>
          <w:tab w:val="clear" w:pos="360"/>
          <w:tab w:val="left" w:pos="0"/>
        </w:tabs>
        <w:spacing w:line="360" w:lineRule="auto"/>
        <w:ind w:left="0" w:firstLine="0"/>
        <w:jc w:val="left"/>
        <w:rPr>
          <w:rFonts w:ascii="Calibri" w:hAnsi="Calibri"/>
          <w:b w:val="0"/>
          <w:sz w:val="28"/>
        </w:rPr>
      </w:pPr>
      <w:r w:rsidRPr="005E3C25">
        <w:rPr>
          <w:rFonts w:ascii="Calibri" w:hAnsi="Calibri"/>
          <w:b w:val="0"/>
        </w:rPr>
        <w:lastRenderedPageBreak/>
        <w:t xml:space="preserve">- Właściwym organem Państwowej Inspekcji </w:t>
      </w:r>
      <w:r>
        <w:rPr>
          <w:rFonts w:ascii="Calibri" w:hAnsi="Calibri"/>
          <w:b w:val="0"/>
        </w:rPr>
        <w:t xml:space="preserve">Sanitarnej pod względem wymagań higienicznych </w:t>
      </w:r>
      <w:r w:rsidRPr="005E3C25">
        <w:rPr>
          <w:rFonts w:ascii="Calibri" w:hAnsi="Calibri"/>
          <w:b w:val="0"/>
        </w:rPr>
        <w:t>i zdrowotnych:</w:t>
      </w:r>
      <w:r w:rsidR="00880FD6">
        <w:rPr>
          <w:rFonts w:ascii="Calibri" w:hAnsi="Calibri"/>
          <w:b w:val="0"/>
        </w:rPr>
        <w:t xml:space="preserve"> </w:t>
      </w:r>
      <w:r w:rsidR="00880FD6" w:rsidRPr="007C5DAC">
        <w:rPr>
          <w:rFonts w:ascii="Calibri" w:hAnsi="Calibri"/>
          <w:b w:val="0"/>
          <w:szCs w:val="22"/>
          <w:lang w:val="x-none"/>
        </w:rPr>
        <w:t>zgodnie z art. 53 ust. 5 w przypadku niezajęcia stanowiska przez organ uzgadniający w terminie 2 tygodni od dnia doręczenia wystąpienia o uzgodnienie – uzgodnienie uważa się za dokonane.</w:t>
      </w:r>
    </w:p>
    <w:p w:rsidR="00AA0040" w:rsidRPr="009B7FAE" w:rsidRDefault="00AA0040" w:rsidP="00AA0040">
      <w:pPr>
        <w:numPr>
          <w:ilvl w:val="0"/>
          <w:numId w:val="3"/>
        </w:numPr>
        <w:rPr>
          <w:b/>
        </w:rPr>
      </w:pPr>
      <w:r w:rsidRPr="009B7FAE">
        <w:rPr>
          <w:b/>
        </w:rPr>
        <w:t>Integralną część niniejszej decyzji stanowi:</w:t>
      </w:r>
    </w:p>
    <w:p w:rsidR="005C1CFA" w:rsidRDefault="005C1CFA" w:rsidP="005C1CFA">
      <w:pPr>
        <w:numPr>
          <w:ilvl w:val="0"/>
          <w:numId w:val="13"/>
        </w:numPr>
        <w:ind w:left="426"/>
      </w:pPr>
      <w:r w:rsidRPr="005C1CFA">
        <w:rPr>
          <w:bCs/>
        </w:rPr>
        <w:t>załącznik Nr 1 - załącznik graficzny do decyzji sporządzony na kopii mapy zasadniczej w skali  1:1000, na którym wyznaczono linie rozgraniczające teren inwestycji opisany literami ABCDA,</w:t>
      </w:r>
    </w:p>
    <w:p w:rsidR="005C1CFA" w:rsidRPr="005C1CFA" w:rsidRDefault="005C1CFA" w:rsidP="005C1CFA">
      <w:pPr>
        <w:numPr>
          <w:ilvl w:val="0"/>
          <w:numId w:val="13"/>
        </w:numPr>
        <w:ind w:left="426"/>
      </w:pPr>
      <w:r w:rsidRPr="005C1CFA">
        <w:rPr>
          <w:bCs/>
        </w:rPr>
        <w:t>załącznik Nr 2 - wyniki analizy funkcji oraz cech zabudowy i zagospodarowania terenu – część tekstowa.</w:t>
      </w:r>
    </w:p>
    <w:p w:rsidR="005C1CFA" w:rsidRDefault="005C1CFA" w:rsidP="005C1CFA">
      <w:pPr>
        <w:ind w:left="66"/>
      </w:pPr>
      <w:r w:rsidRPr="005C1CFA">
        <w:rPr>
          <w:bCs/>
        </w:rPr>
        <w:t>Odstąpiono od sporządzenia części graficznej wyników analizy funkcji oraz cech zabudowy                         i zagospodarowania terenu z uwagi na charakter inwestycji.</w:t>
      </w:r>
    </w:p>
    <w:p w:rsidR="00AA0040" w:rsidRPr="00051258" w:rsidRDefault="00AA0040" w:rsidP="005E3C25">
      <w:pPr>
        <w:pStyle w:val="Nagwek2"/>
        <w:jc w:val="left"/>
      </w:pPr>
      <w:r w:rsidRPr="00051258">
        <w:t>UZASADNIENIE</w:t>
      </w:r>
    </w:p>
    <w:p w:rsidR="005C1CFA" w:rsidRDefault="005C1CFA" w:rsidP="005C1CFA">
      <w:r w:rsidRPr="005C1CFA">
        <w:t>Wnioskodawca,</w:t>
      </w:r>
      <w:r w:rsidRPr="005C1CFA">
        <w:rPr>
          <w:b/>
        </w:rPr>
        <w:t xml:space="preserve"> </w:t>
      </w:r>
      <w:r w:rsidRPr="005C1CFA">
        <w:t>PCWO ENERGY PROJEKT Sp. z o.o., złożył w dniu 17.04.2024 r. (uzupełnionego dnia 22.05.2024 r.),, wniosek o wydanie decyzji o warunkach zabudowy w związku z planowaną inwestycją, polegającą na budowie farmy fotowoltaicznej o mocy do 3MW zlokalizowanej na części działki numer 705 w obrębie</w:t>
      </w:r>
      <w:r w:rsidRPr="005C1CFA">
        <w:rPr>
          <w:b/>
        </w:rPr>
        <w:t xml:space="preserve"> </w:t>
      </w:r>
      <w:r w:rsidRPr="005C1CFA">
        <w:t>Biała, Gmina Sulejów, na terenie części działki o numerze ewidencyjnym 705 (obręb 0003 Biała) położonej w miejscowości Biała, gm. Sulejów.</w:t>
      </w:r>
    </w:p>
    <w:p w:rsidR="005C1CFA" w:rsidRDefault="005C1CFA" w:rsidP="005C1CFA">
      <w:pPr>
        <w:rPr>
          <w:bCs/>
        </w:rPr>
      </w:pPr>
      <w:r w:rsidRPr="005C1CFA">
        <w:rPr>
          <w:bCs/>
        </w:rPr>
        <w:t>Z uwagi na brak miejscowego planu zagospodarowania przestrzennego dla terenu, na którym planowana jest w/w inwestycja, warunki zabudowy dla działki określonej we wniosku, ustala się na podstawie art. 61 ustawy z dnia 27 marca 2003 r. o planowaniu i zagospodarowaniu przestrzennym (t.j. Dz. U. z 2023 r. poz. 977 z późn. zm.), zgodnie z Rozporządzeniem Ministra Infrastruktury z dnia 26 sierpnia 2003 r. w sprawie sposobu ustalania wymagań dotyczących nowej zabudowy i zagospodarowania terenu w przypadku braku miejscowego planu zagospodarowania przestrzennego (Dz. U. z 2003 r. Nr 164 poz.1588 z późn. zm.).</w:t>
      </w:r>
    </w:p>
    <w:p w:rsidR="005C1CFA" w:rsidRDefault="005C1CFA" w:rsidP="005C1CFA">
      <w:pPr>
        <w:rPr>
          <w:b/>
          <w:bCs/>
        </w:rPr>
      </w:pPr>
      <w:r w:rsidRPr="005C1CFA">
        <w:rPr>
          <w:bCs/>
        </w:rPr>
        <w:t>Wniosek w przedmiotowej sprawie zawierał wszystkie elementy wymagane art. 52 ust. 2 ustawy o planowaniu i zagospodarowaniu przestrzennym, a zatem stanowił podstawę do dokonania uzgodnień i ustalenia warunków zabudowy w zakresie wymaganym art. 54 w związku z art. 64 ust. 1 ustawy.</w:t>
      </w:r>
      <w:r w:rsidRPr="005C1CFA">
        <w:rPr>
          <w:b/>
          <w:bCs/>
        </w:rPr>
        <w:tab/>
      </w:r>
    </w:p>
    <w:p w:rsidR="005C1CFA" w:rsidRDefault="005C1CFA" w:rsidP="005C1CFA">
      <w:pPr>
        <w:rPr>
          <w:bCs/>
        </w:rPr>
      </w:pPr>
      <w:r w:rsidRPr="005C1CFA">
        <w:rPr>
          <w:bCs/>
        </w:rPr>
        <w:lastRenderedPageBreak/>
        <w:t xml:space="preserve">Stosownie do art. 10 § 1 Kodeksu postępowania administracyjnego wszystkie strony zostały zawiadomione o wszczęciu postępowania administracyjnego w przedmiotowej sprawie                                i poinformowane o przysługujących im uprawnieniach, z których mogły korzystać bez ograniczeń. </w:t>
      </w:r>
    </w:p>
    <w:p w:rsidR="005C1CFA" w:rsidRDefault="005C1CFA" w:rsidP="005C1CFA">
      <w:pPr>
        <w:rPr>
          <w:bCs/>
        </w:rPr>
      </w:pPr>
      <w:r w:rsidRPr="005C1CFA">
        <w:rPr>
          <w:bCs/>
        </w:rPr>
        <w:t>Zgodnie z art. 60 ust. 1 powołanej ustawy przedmiotowa decyzja została podjęta po wcześniejszym uzgodnieniu przedsięwzięcia inwestycyjnego z właściwymi o</w:t>
      </w:r>
      <w:r>
        <w:rPr>
          <w:bCs/>
        </w:rPr>
        <w:t xml:space="preserve">rganami określonymi  </w:t>
      </w:r>
      <w:r w:rsidRPr="005C1CFA">
        <w:rPr>
          <w:bCs/>
        </w:rPr>
        <w:t>w art. 53 ust. 4 i uzyskaniu uzgodnień lub decyzji wymaganych przepisami odrębnymi.</w:t>
      </w:r>
    </w:p>
    <w:p w:rsidR="005C1CFA" w:rsidRDefault="005C1CFA" w:rsidP="005C1CFA">
      <w:r w:rsidRPr="005C1CFA">
        <w:t>Teren objęty wnioskiem, nie wymaga zgody na zmianę przeznaczenia gruntów rolnych na cele nierolnicze – stosownie do wymagań ustawy z dnia 3 lutego 1995 r. o ochronie g</w:t>
      </w:r>
      <w:r>
        <w:t xml:space="preserve">runtów rolnych  </w:t>
      </w:r>
      <w:r w:rsidRPr="005C1CFA">
        <w:t>i leśnych (jednolity tekst: Dz. U. z 2024 r. poz. 82).</w:t>
      </w:r>
    </w:p>
    <w:p w:rsidR="005C1CFA" w:rsidRPr="005C1CFA" w:rsidRDefault="005C1CFA" w:rsidP="005C1CFA">
      <w:r w:rsidRPr="005C1CFA">
        <w:rPr>
          <w:bCs/>
        </w:rPr>
        <w:t>Projektowana inwestycja spełnia łącznie warunki umożliwiające wydanie decyzji o warunkach zabudowy, określone w art.61 ust.1 ustawy z dnia 27 marca 2003 r. o planowaniu i zagospodarowaniu przestrzennym.</w:t>
      </w:r>
    </w:p>
    <w:p w:rsidR="00AA0040" w:rsidRPr="009B7FAE" w:rsidRDefault="00AA0040" w:rsidP="005E3C25">
      <w:pPr>
        <w:pStyle w:val="Nagwek2"/>
        <w:jc w:val="left"/>
      </w:pPr>
      <w:r w:rsidRPr="00051258">
        <w:t>Mając na uwadze powyższe, orzeczono jak w sentencji.</w:t>
      </w:r>
    </w:p>
    <w:p w:rsidR="00AA0040" w:rsidRPr="009B7FAE" w:rsidRDefault="00AA0040" w:rsidP="00AA0040">
      <w:r w:rsidRPr="009B7FAE">
        <w:t>Od niniejszej decyzji służy stronom odwołanie do Samorządowego Kolegium Odwoławczego w Piotrkowie Trybunalskim, ul. Słowackiego 19 za pośrednictwem Burmistrza Sulejowa w terminie 14 dni od daty jej doręczenia.</w:t>
      </w:r>
    </w:p>
    <w:p w:rsidR="00AA0040" w:rsidRPr="009B7FAE" w:rsidRDefault="00AA0040" w:rsidP="00AA0040">
      <w:r w:rsidRPr="009B7FAE">
        <w:t>W trakcie biegu terminu do wniesienia odwołania strona może zrzec się prawa do wniesienia odwołania poprzez złożenie stosownego oświadczenia organowi administracji publicznej, który wydała decyzję. Z chwilą złożenia takiego oświadczenia poprzez ostatnią ze stron, decyzja staje się ostateczna i prawomocna.</w:t>
      </w:r>
    </w:p>
    <w:p w:rsidR="00AA0040" w:rsidRPr="009B7FAE" w:rsidRDefault="00AA0040" w:rsidP="00AA0040">
      <w:r w:rsidRPr="009B7FAE">
        <w:t>Decyzja podlega wykonaniu przed upływem terminu do wniesienia odwołania, jeżeli wszystkie strony zrzekły się</w:t>
      </w:r>
      <w:r>
        <w:t xml:space="preserve"> prawa do wniesienia odwołania.</w:t>
      </w:r>
    </w:p>
    <w:p w:rsidR="00AA0040" w:rsidRPr="009B7FAE" w:rsidRDefault="00AA0040" w:rsidP="00AA0040">
      <w:r w:rsidRPr="009B7FAE">
        <w:t>W przypadku niewydania przez Burmistrza Sulejowa decyzji o warunkach zabudowy w terminie 90 dni od dnia złożenia wniosku o wydanie takiej decyzji, organ wyższego stopnia wymierza temu organowi, w drodze postanowienia, na które przysługuje zażalenie, karę pieniężną w wysokości 500 zł za każdy dzień zwłoki. Do powyższego terminu, nie wlicza się terminów przewidzianych w przepisach prawa do dokonania określonych czynności, okresów zawieszenia postępowania oraz okresów opóźnień spowodowanych z winy strony albo z przyczyn niezależnych od organu.</w:t>
      </w:r>
    </w:p>
    <w:p w:rsidR="00AA0040" w:rsidRPr="00051258" w:rsidRDefault="00AA0040" w:rsidP="00AA0040">
      <w:r w:rsidRPr="009B7FAE">
        <w:lastRenderedPageBreak/>
        <w:t>Postępowanie w sprawie wymierzenia kary pieniężnej, wszczyna się z urzędu, jeżeli podmiot, który wystąpił z wnioskiem o wydanie decyzji o warunkach zabudowy, wniesie żądanie wymierzenia takiej kary. Żądanie, wnosi się za pośrednictwem Burmistrza Sulejowa.</w:t>
      </w:r>
    </w:p>
    <w:p w:rsidR="00AA0040" w:rsidRDefault="00AA0040" w:rsidP="00AA0040">
      <w:pPr>
        <w:rPr>
          <w:b/>
        </w:rPr>
      </w:pPr>
      <w:r>
        <w:rPr>
          <w:b/>
        </w:rPr>
        <w:t>/-/ Burmistrz Sulejowa</w:t>
      </w:r>
    </w:p>
    <w:p w:rsidR="00AA0040" w:rsidRPr="005C244E" w:rsidRDefault="00D83E99" w:rsidP="00AA0040">
      <w:r>
        <w:rPr>
          <w:b/>
        </w:rPr>
        <w:t>Dorota Jankowska</w:t>
      </w:r>
    </w:p>
    <w:p w:rsidR="00AA0040" w:rsidRPr="00051258" w:rsidRDefault="00AA0040" w:rsidP="00B514D5">
      <w:pPr>
        <w:pStyle w:val="Nagwek1"/>
        <w:jc w:val="left"/>
      </w:pPr>
      <w:r w:rsidRPr="00051258">
        <w:t>POUCZENIE:</w:t>
      </w:r>
    </w:p>
    <w:p w:rsidR="00AA0040" w:rsidRPr="00051258" w:rsidRDefault="00AA0040" w:rsidP="00B514D5">
      <w:pPr>
        <w:numPr>
          <w:ilvl w:val="0"/>
          <w:numId w:val="14"/>
        </w:numPr>
        <w:ind w:left="284" w:hanging="284"/>
      </w:pPr>
      <w:r w:rsidRPr="00051258">
        <w:t>Decyzja o warunkach zabudowy nie przesądza o miejscu usytuowania obiektu na działce. Jego usytuowanie w stosunku do granic działek sąsiednich winno spełniać warunki przewidziane w Rozporządzeniu Ministra Infrastruktury z dnia 12 kwietnia 2002 roku w sprawie warunków technicznych, jakim powinny odpowiadać budynki i ich usytuowanie (t.j. Dz. U. z 2022 r. poz. 1225 z późn. zm.).</w:t>
      </w:r>
    </w:p>
    <w:p w:rsidR="00AA0040" w:rsidRPr="00051258" w:rsidRDefault="00AA0040" w:rsidP="00B514D5">
      <w:pPr>
        <w:numPr>
          <w:ilvl w:val="0"/>
          <w:numId w:val="14"/>
        </w:numPr>
        <w:ind w:left="284" w:hanging="284"/>
      </w:pPr>
      <w:r w:rsidRPr="00051258">
        <w:t>Decyzja o warunkach zabudowy wiąże organ wydający decyzje o pozwoleniu na budowę (art. 55 ustawy o planowaniu i zagospodarowaniu przestrzennym).</w:t>
      </w:r>
    </w:p>
    <w:p w:rsidR="00AA0040" w:rsidRPr="00051258" w:rsidRDefault="00AA0040" w:rsidP="00B514D5">
      <w:pPr>
        <w:numPr>
          <w:ilvl w:val="0"/>
          <w:numId w:val="14"/>
        </w:numPr>
        <w:ind w:left="284" w:hanging="284"/>
      </w:pPr>
      <w:r w:rsidRPr="00051258">
        <w:t>Decyzja niniejsza nie uprawnia do podejmowania jakichkolwiek działań, związanych z rozpoczęciem robót budowlanych.</w:t>
      </w:r>
    </w:p>
    <w:p w:rsidR="00AA0040" w:rsidRPr="00051258" w:rsidRDefault="00AA0040" w:rsidP="00B514D5">
      <w:pPr>
        <w:numPr>
          <w:ilvl w:val="0"/>
          <w:numId w:val="14"/>
        </w:numPr>
        <w:ind w:left="284" w:hanging="284"/>
      </w:pPr>
      <w:r w:rsidRPr="00051258">
        <w:t>W odniesieniu do tego samego terenu decyzję o warunkach zabudowy można wydać więcej niż jednemu wnioskodawcy, dostarczając odpis decyzji do wiadomości pozostałym wnioskodawcom i właścicielowi lub użytkownikowi wieczystemu (art. 63 ust. 1 ustawy o planowaniu i zagospodarowaniu przestrzennym).</w:t>
      </w:r>
    </w:p>
    <w:p w:rsidR="005C1CFA" w:rsidRDefault="00AA0040" w:rsidP="005C1CFA">
      <w:pPr>
        <w:numPr>
          <w:ilvl w:val="0"/>
          <w:numId w:val="14"/>
        </w:numPr>
        <w:ind w:left="284" w:hanging="284"/>
      </w:pPr>
      <w:r w:rsidRPr="00051258">
        <w:t>Wnioskodawcy, który nie uzyskał praw do terenu nie przysługuje roszczenie o zwrot nakładów poniesionych w związku z otrzymaną decyzją o warunkach zabudowy (art. 63 ust. 4 ustawy o planowaniu i zagospodarowaniu przestrzennym).</w:t>
      </w:r>
    </w:p>
    <w:p w:rsidR="00D83E99" w:rsidRPr="00D83E99" w:rsidRDefault="00D83E99" w:rsidP="005C1CFA">
      <w:pPr>
        <w:numPr>
          <w:ilvl w:val="0"/>
          <w:numId w:val="14"/>
        </w:numPr>
        <w:ind w:left="284" w:hanging="284"/>
      </w:pPr>
      <w:r w:rsidRPr="005C1CFA">
        <w:rPr>
          <w:bdr w:val="none" w:sz="0" w:space="0" w:color="auto" w:frame="1"/>
        </w:rPr>
        <w:t>Zgodnie z art. 65 ust. 1 ustawy o planowaniu i zagospodarowaniu przestrzennym organ, który wydał decyzję o warunkach zabudowy albo decyzję o ustaleniu lokalizacji celu publicznego, stwierdza jej wygaśnięcie, jeżeli:</w:t>
      </w:r>
    </w:p>
    <w:p w:rsidR="00D83E99" w:rsidRPr="00D83E99" w:rsidRDefault="00D83E99" w:rsidP="00D83E99">
      <w:pPr>
        <w:ind w:left="284"/>
        <w:jc w:val="both"/>
        <w:rPr>
          <w:bdr w:val="none" w:sz="0" w:space="0" w:color="auto" w:frame="1"/>
        </w:rPr>
      </w:pPr>
      <w:r w:rsidRPr="00D83E99">
        <w:rPr>
          <w:bdr w:val="none" w:sz="0" w:space="0" w:color="auto" w:frame="1"/>
        </w:rPr>
        <w:t>1. inny wnioskodawca uzyskał pozwolenie na budowę;</w:t>
      </w:r>
    </w:p>
    <w:p w:rsidR="00D83E99" w:rsidRDefault="00D83E99" w:rsidP="00D83E99">
      <w:pPr>
        <w:ind w:left="284"/>
        <w:jc w:val="both"/>
        <w:rPr>
          <w:bdr w:val="none" w:sz="0" w:space="0" w:color="auto" w:frame="1"/>
        </w:rPr>
      </w:pPr>
      <w:r w:rsidRPr="00D83E99">
        <w:rPr>
          <w:bdr w:val="none" w:sz="0" w:space="0" w:color="auto" w:frame="1"/>
        </w:rPr>
        <w:t>1a) nie wniesiono sprzeciwu wobec zgłoszenia budowy dokonanego przez innego wnioskodawcę;</w:t>
      </w:r>
    </w:p>
    <w:p w:rsidR="00D83E99" w:rsidRPr="00D83E99" w:rsidRDefault="00D83E99" w:rsidP="00D83E99">
      <w:pPr>
        <w:ind w:left="284"/>
        <w:jc w:val="both"/>
        <w:rPr>
          <w:bdr w:val="none" w:sz="0" w:space="0" w:color="auto" w:frame="1"/>
        </w:rPr>
      </w:pPr>
      <w:r w:rsidRPr="00D83E99">
        <w:rPr>
          <w:bdr w:val="none" w:sz="0" w:space="0" w:color="auto" w:frame="1"/>
        </w:rPr>
        <w:t>1b) inny wnioskodawca zgłosił budowę, o której mowa w art. 29 ust. 1 pkt 1a ustawy z dnia 7 lipca 1994 r. – Prawo budowlane;</w:t>
      </w:r>
    </w:p>
    <w:p w:rsidR="00D83E99" w:rsidRPr="00D83E99" w:rsidRDefault="00D83E99" w:rsidP="00D83E99">
      <w:pPr>
        <w:ind w:left="284"/>
        <w:jc w:val="both"/>
        <w:rPr>
          <w:bdr w:val="none" w:sz="0" w:space="0" w:color="auto" w:frame="1"/>
        </w:rPr>
      </w:pPr>
      <w:r w:rsidRPr="00D83E99">
        <w:rPr>
          <w:bdr w:val="none" w:sz="0" w:space="0" w:color="auto" w:frame="1"/>
        </w:rPr>
        <w:t xml:space="preserve">2)  dla tego terenu uchwalono plan miejscowy, którego ustalenia są inne niż w wydanej decyzji (nie stosuje się, jeżeli została wydana ostateczna decyzja o pozwoleniu na </w:t>
      </w:r>
      <w:r w:rsidRPr="00D83E99">
        <w:rPr>
          <w:bdr w:val="none" w:sz="0" w:space="0" w:color="auto" w:frame="1"/>
        </w:rPr>
        <w:lastRenderedPageBreak/>
        <w:t>budowę, upłynął termin na wniesienie sprzeciwu wobec zgłoszenia budowy lub wnioskodawca zgłosił budowę, o której mowa w art. 29 ust. 1 pkt 1a ustawy z dnia 7 lipca 1994 r. – Prawo budowlane).</w:t>
      </w:r>
    </w:p>
    <w:p w:rsidR="005C1CFA" w:rsidRPr="005C1CFA" w:rsidRDefault="00D83E99" w:rsidP="005C1CFA">
      <w:pPr>
        <w:ind w:left="284"/>
        <w:jc w:val="both"/>
        <w:rPr>
          <w:bdr w:val="none" w:sz="0" w:space="0" w:color="auto" w:frame="1"/>
        </w:rPr>
      </w:pPr>
      <w:r w:rsidRPr="00D83E99">
        <w:rPr>
          <w:bdr w:val="none" w:sz="0" w:space="0" w:color="auto" w:frame="1"/>
        </w:rPr>
        <w:t>Stwierdzenie wygaśnięcia decyzji, o których mowa powyżej, następuje w trybie art. 162 § 1 pkt 1 Kodeksu postępowania administracyjnego.</w:t>
      </w:r>
    </w:p>
    <w:p w:rsidR="00AA0040" w:rsidRPr="00051258" w:rsidRDefault="00AA0040" w:rsidP="005C1CFA">
      <w:pPr>
        <w:numPr>
          <w:ilvl w:val="0"/>
          <w:numId w:val="14"/>
        </w:numPr>
        <w:ind w:left="284" w:hanging="284"/>
      </w:pPr>
      <w:r w:rsidRPr="00051258">
        <w:t>Decyzję o pozwoleniu na budowę należy uzyskać w Starostwie Powiatowym w Piotrkowie Trybunalskim.</w:t>
      </w:r>
    </w:p>
    <w:p w:rsidR="00AA0040" w:rsidRDefault="00AA0040" w:rsidP="00AA0040">
      <w:r w:rsidRPr="00051258">
        <w:t>Załączniki do decyzji:</w:t>
      </w:r>
    </w:p>
    <w:p w:rsidR="005C1CFA" w:rsidRDefault="005C1CFA" w:rsidP="005C1CFA">
      <w:pPr>
        <w:numPr>
          <w:ilvl w:val="0"/>
          <w:numId w:val="23"/>
        </w:numPr>
        <w:ind w:left="426" w:hanging="426"/>
      </w:pPr>
      <w:r w:rsidRPr="005C1CFA">
        <w:rPr>
          <w:bCs/>
        </w:rPr>
        <w:t>załącznik Nr 1 - załącznik graficzny do decyzji sporządzony na kopii mapy zasadniczej w skali  1:1000, na którym wyznaczono linie rozgraniczające teren inwestycji opisany literami ABCDA,</w:t>
      </w:r>
    </w:p>
    <w:p w:rsidR="005C1CFA" w:rsidRPr="005C1CFA" w:rsidRDefault="005C1CFA" w:rsidP="005C1CFA">
      <w:pPr>
        <w:numPr>
          <w:ilvl w:val="0"/>
          <w:numId w:val="23"/>
        </w:numPr>
        <w:ind w:left="426"/>
      </w:pPr>
      <w:r w:rsidRPr="005C1CFA">
        <w:rPr>
          <w:bCs/>
        </w:rPr>
        <w:t>załącznik Nr 2 - wyniki analizy funkcji oraz cech zabudowy i zagospodarowania terenu – część tekstowa.</w:t>
      </w:r>
    </w:p>
    <w:p w:rsidR="005C1CFA" w:rsidRPr="00051258" w:rsidRDefault="005C1CFA" w:rsidP="005C1CFA">
      <w:pPr>
        <w:ind w:left="66"/>
      </w:pPr>
      <w:r w:rsidRPr="005C1CFA">
        <w:rPr>
          <w:bCs/>
        </w:rPr>
        <w:t>Odstąpiono od sporządzenia części graficznej wyników analizy funkcji oraz cech zabudowy                         i zagospodarowania terenu z uwagi na charakter inwestycji.</w:t>
      </w:r>
    </w:p>
    <w:p w:rsidR="00AA0040" w:rsidRPr="00051258" w:rsidRDefault="00AA0040" w:rsidP="00AA0040">
      <w:pPr>
        <w:rPr>
          <w:b/>
        </w:rPr>
      </w:pPr>
      <w:r w:rsidRPr="00051258">
        <w:rPr>
          <w:b/>
        </w:rPr>
        <w:t>Otrzymują:</w:t>
      </w:r>
    </w:p>
    <w:p w:rsidR="00AA0040" w:rsidRDefault="00D83E99" w:rsidP="00B514D5">
      <w:pPr>
        <w:numPr>
          <w:ilvl w:val="0"/>
          <w:numId w:val="17"/>
        </w:numPr>
        <w:ind w:left="284" w:hanging="284"/>
      </w:pPr>
      <w:r>
        <w:t>W</w:t>
      </w:r>
      <w:r w:rsidR="00AA0040" w:rsidRPr="00051258">
        <w:t>nioskodawca</w:t>
      </w:r>
    </w:p>
    <w:p w:rsidR="00AA0040" w:rsidRDefault="00D83E99" w:rsidP="00B514D5">
      <w:pPr>
        <w:numPr>
          <w:ilvl w:val="0"/>
          <w:numId w:val="17"/>
        </w:numPr>
        <w:ind w:left="284" w:hanging="284"/>
      </w:pPr>
      <w:r>
        <w:t>S</w:t>
      </w:r>
      <w:r w:rsidR="00AA0040">
        <w:t>trony postępowania wg. odrębnego wykazu</w:t>
      </w:r>
    </w:p>
    <w:p w:rsidR="00AA0040" w:rsidRPr="002F22B5" w:rsidRDefault="00AA0040" w:rsidP="00B514D5">
      <w:pPr>
        <w:numPr>
          <w:ilvl w:val="0"/>
          <w:numId w:val="17"/>
        </w:numPr>
        <w:ind w:left="284" w:hanging="284"/>
      </w:pPr>
      <w:r w:rsidRPr="00051258">
        <w:t>a/a</w:t>
      </w:r>
      <w:bookmarkStart w:id="0" w:name="_GoBack"/>
      <w:bookmarkEnd w:id="0"/>
    </w:p>
    <w:p w:rsidR="00AA0040" w:rsidRPr="00051258" w:rsidRDefault="00AA0040" w:rsidP="00AA0040">
      <w:pPr>
        <w:rPr>
          <w:b/>
        </w:rPr>
      </w:pPr>
      <w:r w:rsidRPr="00051258">
        <w:rPr>
          <w:b/>
        </w:rPr>
        <w:t>Projekt decyzji przygotował:</w:t>
      </w:r>
    </w:p>
    <w:p w:rsidR="00AA0040" w:rsidRPr="00051258" w:rsidRDefault="00AA0040" w:rsidP="00AA0040">
      <w:r w:rsidRPr="00051258">
        <w:t>mgr Bohdan Wrzeszcz</w:t>
      </w:r>
    </w:p>
    <w:p w:rsidR="00AA0040" w:rsidRPr="00051258" w:rsidRDefault="00AA0040" w:rsidP="00AA0040">
      <w:r w:rsidRPr="00051258">
        <w:t xml:space="preserve">uprawniony urbanista </w:t>
      </w:r>
    </w:p>
    <w:p w:rsidR="00AA0040" w:rsidRPr="00051258" w:rsidRDefault="00AA0040" w:rsidP="00AA0040">
      <w:r w:rsidRPr="00051258">
        <w:t>z art. 5 pkt 3 Ustawy z dnia 27 marca 2003 r.</w:t>
      </w:r>
    </w:p>
    <w:p w:rsidR="00AA0040" w:rsidRPr="00051258" w:rsidRDefault="00AA0040" w:rsidP="00AA0040">
      <w:r w:rsidRPr="00051258">
        <w:t xml:space="preserve">o planowaniu i zagospodarowaniu przestrzennym </w:t>
      </w:r>
    </w:p>
    <w:p w:rsidR="000067E7" w:rsidRDefault="000067E7"/>
    <w:sectPr w:rsidR="000067E7" w:rsidSect="0048747D">
      <w:footerReference w:type="default" r:id="rId8"/>
      <w:pgSz w:w="11906" w:h="16838"/>
      <w:pgMar w:top="1417" w:right="1417" w:bottom="1321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DAC" w:rsidRDefault="007C5DAC" w:rsidP="0048747D">
      <w:pPr>
        <w:spacing w:line="240" w:lineRule="auto"/>
      </w:pPr>
      <w:r>
        <w:separator/>
      </w:r>
    </w:p>
  </w:endnote>
  <w:endnote w:type="continuationSeparator" w:id="0">
    <w:p w:rsidR="007C5DAC" w:rsidRDefault="007C5DAC" w:rsidP="00487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D1F" w:rsidRDefault="0048747D">
    <w:pPr>
      <w:pStyle w:val="Stopka"/>
      <w:jc w:val="right"/>
    </w:pPr>
    <w:r>
      <w:fldChar w:fldCharType="begin"/>
    </w:r>
    <w:r w:rsidR="00AA0040">
      <w:instrText xml:space="preserve"> PAGE </w:instrText>
    </w:r>
    <w:r>
      <w:fldChar w:fldCharType="separate"/>
    </w:r>
    <w:r w:rsidR="00977C4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DAC" w:rsidRDefault="007C5DAC" w:rsidP="0048747D">
      <w:pPr>
        <w:spacing w:line="240" w:lineRule="auto"/>
      </w:pPr>
      <w:r>
        <w:separator/>
      </w:r>
    </w:p>
  </w:footnote>
  <w:footnote w:type="continuationSeparator" w:id="0">
    <w:p w:rsidR="007C5DAC" w:rsidRDefault="007C5DAC" w:rsidP="004874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E0E5D51"/>
    <w:multiLevelType w:val="hybridMultilevel"/>
    <w:tmpl w:val="978E8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462E"/>
    <w:multiLevelType w:val="hybridMultilevel"/>
    <w:tmpl w:val="25F46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66BD1"/>
    <w:multiLevelType w:val="hybridMultilevel"/>
    <w:tmpl w:val="978E8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26EB5"/>
    <w:multiLevelType w:val="multilevel"/>
    <w:tmpl w:val="B8A879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910683"/>
    <w:multiLevelType w:val="hybridMultilevel"/>
    <w:tmpl w:val="E9562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E0D50"/>
    <w:multiLevelType w:val="hybridMultilevel"/>
    <w:tmpl w:val="1116B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63863"/>
    <w:multiLevelType w:val="hybridMultilevel"/>
    <w:tmpl w:val="786C4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E511F"/>
    <w:multiLevelType w:val="hybridMultilevel"/>
    <w:tmpl w:val="1116B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D403A"/>
    <w:multiLevelType w:val="hybridMultilevel"/>
    <w:tmpl w:val="1B54E1BC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95DCC"/>
    <w:multiLevelType w:val="hybridMultilevel"/>
    <w:tmpl w:val="1116B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F7293"/>
    <w:multiLevelType w:val="hybridMultilevel"/>
    <w:tmpl w:val="978E8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C407D"/>
    <w:multiLevelType w:val="multilevel"/>
    <w:tmpl w:val="6024DA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733505"/>
    <w:multiLevelType w:val="hybridMultilevel"/>
    <w:tmpl w:val="606A4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F4B5C"/>
    <w:multiLevelType w:val="hybridMultilevel"/>
    <w:tmpl w:val="4A5E8C82"/>
    <w:lvl w:ilvl="0" w:tplc="EF263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125E5"/>
    <w:multiLevelType w:val="hybridMultilevel"/>
    <w:tmpl w:val="62585EB8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43534"/>
    <w:multiLevelType w:val="hybridMultilevel"/>
    <w:tmpl w:val="978E8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64073"/>
    <w:multiLevelType w:val="hybridMultilevel"/>
    <w:tmpl w:val="FE9EB90A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01EAF"/>
    <w:multiLevelType w:val="hybridMultilevel"/>
    <w:tmpl w:val="B3B6C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70080"/>
    <w:multiLevelType w:val="hybridMultilevel"/>
    <w:tmpl w:val="DB2A7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7"/>
  </w:num>
  <w:num w:numId="5">
    <w:abstractNumId w:val="14"/>
  </w:num>
  <w:num w:numId="6">
    <w:abstractNumId w:val="19"/>
  </w:num>
  <w:num w:numId="7">
    <w:abstractNumId w:val="4"/>
  </w:num>
  <w:num w:numId="8">
    <w:abstractNumId w:val="5"/>
  </w:num>
  <w:num w:numId="9">
    <w:abstractNumId w:val="21"/>
  </w:num>
  <w:num w:numId="10">
    <w:abstractNumId w:val="18"/>
  </w:num>
  <w:num w:numId="11">
    <w:abstractNumId w:val="20"/>
  </w:num>
  <w:num w:numId="12">
    <w:abstractNumId w:val="12"/>
  </w:num>
  <w:num w:numId="13">
    <w:abstractNumId w:val="11"/>
  </w:num>
  <w:num w:numId="14">
    <w:abstractNumId w:val="17"/>
  </w:num>
  <w:num w:numId="15">
    <w:abstractNumId w:val="10"/>
  </w:num>
  <w:num w:numId="16">
    <w:abstractNumId w:val="16"/>
  </w:num>
  <w:num w:numId="17">
    <w:abstractNumId w:val="22"/>
  </w:num>
  <w:num w:numId="18">
    <w:abstractNumId w:val="1"/>
  </w:num>
  <w:num w:numId="19">
    <w:abstractNumId w:val="6"/>
  </w:num>
  <w:num w:numId="20">
    <w:abstractNumId w:val="2"/>
  </w:num>
  <w:num w:numId="21">
    <w:abstractNumId w:val="9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212"/>
    <w:rsid w:val="000067E7"/>
    <w:rsid w:val="0007497C"/>
    <w:rsid w:val="0048747D"/>
    <w:rsid w:val="005C1CFA"/>
    <w:rsid w:val="005E3B7D"/>
    <w:rsid w:val="005E3C25"/>
    <w:rsid w:val="007C5DAC"/>
    <w:rsid w:val="00880FD6"/>
    <w:rsid w:val="008B03B7"/>
    <w:rsid w:val="00935BA2"/>
    <w:rsid w:val="00977C48"/>
    <w:rsid w:val="009C6C5D"/>
    <w:rsid w:val="009E6D1F"/>
    <w:rsid w:val="00AA0040"/>
    <w:rsid w:val="00AA4212"/>
    <w:rsid w:val="00AA6E16"/>
    <w:rsid w:val="00B514D5"/>
    <w:rsid w:val="00BF2F5A"/>
    <w:rsid w:val="00C2089B"/>
    <w:rsid w:val="00D83E99"/>
    <w:rsid w:val="00FB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5E4EA-433E-4CD6-B065-D9465D9F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040"/>
    <w:pPr>
      <w:suppressAutoHyphens/>
      <w:spacing w:line="360" w:lineRule="auto"/>
    </w:pPr>
    <w:rPr>
      <w:rFonts w:eastAsia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A0040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A0040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A0040"/>
    <w:rPr>
      <w:rFonts w:ascii="Calibri" w:eastAsia="Times New Roman" w:hAnsi="Calibri" w:cs="Times New Roman"/>
      <w:b/>
      <w:sz w:val="28"/>
      <w:szCs w:val="20"/>
      <w:lang w:eastAsia="ar-SA"/>
    </w:rPr>
  </w:style>
  <w:style w:type="character" w:customStyle="1" w:styleId="Nagwek2Znak">
    <w:name w:val="Nagłówek 2 Znak"/>
    <w:link w:val="Nagwek2"/>
    <w:rsid w:val="00AA0040"/>
    <w:rPr>
      <w:rFonts w:ascii="Calibri" w:eastAsia="Times New Roman" w:hAnsi="Calibri" w:cs="Times New Roman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AA00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A004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C6C5D"/>
    <w:pPr>
      <w:tabs>
        <w:tab w:val="left" w:pos="360"/>
      </w:tabs>
      <w:spacing w:line="240" w:lineRule="auto"/>
      <w:ind w:left="360" w:hanging="360"/>
      <w:jc w:val="both"/>
    </w:pPr>
    <w:rPr>
      <w:rFonts w:ascii="Times New Roman" w:hAnsi="Times New Roman"/>
    </w:rPr>
  </w:style>
  <w:style w:type="paragraph" w:customStyle="1" w:styleId="Tekstpodstawowywcity31">
    <w:name w:val="Tekst podstawowy wcięty 31"/>
    <w:basedOn w:val="Normalny"/>
    <w:rsid w:val="009C6C5D"/>
    <w:pPr>
      <w:spacing w:line="240" w:lineRule="auto"/>
      <w:ind w:left="1620" w:hanging="1620"/>
      <w:jc w:val="both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9C6C5D"/>
    <w:pPr>
      <w:spacing w:after="120" w:line="480" w:lineRule="auto"/>
    </w:pPr>
    <w:rPr>
      <w:rFonts w:ascii="Times New Roman" w:hAnsi="Times New Roman"/>
    </w:rPr>
  </w:style>
  <w:style w:type="paragraph" w:customStyle="1" w:styleId="Tekstpodstawowy22">
    <w:name w:val="Tekst podstawowy 22"/>
    <w:basedOn w:val="Normalny"/>
    <w:rsid w:val="009C6C5D"/>
    <w:pPr>
      <w:spacing w:after="120" w:line="480" w:lineRule="auto"/>
    </w:pPr>
    <w:rPr>
      <w:rFonts w:ascii="Times New Roman" w:hAnsi="Times New Roman"/>
      <w:lang w:val="x-none"/>
    </w:rPr>
  </w:style>
  <w:style w:type="character" w:customStyle="1" w:styleId="xmarkedcontent">
    <w:name w:val="x_markedcontent"/>
    <w:basedOn w:val="Domylnaczcionkaakapitu"/>
    <w:rsid w:val="005E3C25"/>
  </w:style>
  <w:style w:type="paragraph" w:styleId="Tekstpodstawowywcity">
    <w:name w:val="Body Text Indent"/>
    <w:basedOn w:val="Normalny"/>
    <w:link w:val="TekstpodstawowywcityZnak"/>
    <w:rsid w:val="005E3C25"/>
    <w:pPr>
      <w:tabs>
        <w:tab w:val="left" w:pos="360"/>
      </w:tabs>
      <w:spacing w:line="240" w:lineRule="auto"/>
      <w:ind w:left="360" w:hanging="360"/>
      <w:jc w:val="both"/>
    </w:pPr>
    <w:rPr>
      <w:rFonts w:ascii="Times New Roman" w:hAnsi="Times New Roman"/>
      <w:b/>
    </w:rPr>
  </w:style>
  <w:style w:type="character" w:customStyle="1" w:styleId="TekstpodstawowywcityZnak">
    <w:name w:val="Tekst podstawowy wcięty Znak"/>
    <w:link w:val="Tekstpodstawowywcity"/>
    <w:rsid w:val="005E3C25"/>
    <w:rPr>
      <w:rFonts w:ascii="Times New Roman" w:eastAsia="Times New Roman" w:hAnsi="Times New Roman"/>
      <w:b/>
      <w:sz w:val="24"/>
      <w:szCs w:val="24"/>
      <w:lang w:eastAsia="ar-SA"/>
    </w:rPr>
  </w:style>
  <w:style w:type="character" w:styleId="Pogrubienie">
    <w:name w:val="Strong"/>
    <w:uiPriority w:val="22"/>
    <w:qFormat/>
    <w:rsid w:val="005E3C25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E3B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5E3B7D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F0723-1EEC-40CD-A0D3-64A93CC3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2893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Bogumiała BG. Gorgoń</dc:creator>
  <cp:keywords/>
  <cp:lastModifiedBy>Karolina KP. Pittner</cp:lastModifiedBy>
  <cp:revision>3</cp:revision>
  <dcterms:created xsi:type="dcterms:W3CDTF">2024-08-19T06:30:00Z</dcterms:created>
  <dcterms:modified xsi:type="dcterms:W3CDTF">2024-08-19T06:46:00Z</dcterms:modified>
</cp:coreProperties>
</file>