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3218A970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614D9">
        <w:rPr>
          <w:rFonts w:ascii="Arial" w:hAnsi="Arial" w:cs="Arial"/>
        </w:rPr>
        <w:t>1</w:t>
      </w:r>
      <w:r w:rsidR="00293CA2">
        <w:rPr>
          <w:rFonts w:ascii="Arial" w:hAnsi="Arial" w:cs="Arial"/>
        </w:rPr>
        <w:t>7</w:t>
      </w:r>
      <w:r w:rsidR="006C0D19">
        <w:rPr>
          <w:rFonts w:ascii="Arial" w:hAnsi="Arial" w:cs="Arial"/>
        </w:rPr>
        <w:t>2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7CBC3015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614D9">
        <w:rPr>
          <w:rFonts w:ascii="Arial" w:hAnsi="Arial" w:cs="Arial"/>
          <w:b/>
          <w:sz w:val="28"/>
          <w:szCs w:val="28"/>
        </w:rPr>
        <w:t>1</w:t>
      </w:r>
      <w:r w:rsidR="00293CA2">
        <w:rPr>
          <w:rFonts w:ascii="Arial" w:hAnsi="Arial" w:cs="Arial"/>
          <w:b/>
          <w:sz w:val="28"/>
          <w:szCs w:val="28"/>
        </w:rPr>
        <w:t>7</w:t>
      </w:r>
      <w:r w:rsidR="006C0D19">
        <w:rPr>
          <w:rFonts w:ascii="Arial" w:hAnsi="Arial" w:cs="Arial"/>
          <w:b/>
          <w:sz w:val="28"/>
          <w:szCs w:val="28"/>
        </w:rPr>
        <w:t>2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610BEB84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293CA2">
        <w:rPr>
          <w:rFonts w:ascii="Arial" w:hAnsi="Arial" w:cs="Arial"/>
          <w:sz w:val="24"/>
        </w:rPr>
        <w:t>12 sierpnia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293CA2" w:rsidRDefault="00E51B9B" w:rsidP="00293CA2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0DD5DD9A" w14:textId="43F14E0F" w:rsidR="00293CA2" w:rsidRPr="00293CA2" w:rsidRDefault="00293CA2" w:rsidP="00293CA2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293CA2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609, poz. 721), art. 257 ustawy z dnia 27 sierpnia 2009 roku o finansach publicznych (t.j. Dz.U. z 2023 r. poz. 1270, poz. 1273, poz. 1407, poz. 1429, poz. 1641, poz. 1693, poz. 1872; z 2024 r. poz. 1089), § 17 i § 18 Uchwały Nr LXXI/603/2023 Rady Miejskiej w Sulejowie z dnia 19 grudnia 2023 roku w sprawie uchwalenia budżetu gminy Sulejów na 2024 rok, zarządzam co następuje:</w:t>
      </w:r>
    </w:p>
    <w:p w14:paraId="60A309D3" w14:textId="77777777" w:rsidR="00293CA2" w:rsidRPr="00293CA2" w:rsidRDefault="00293CA2" w:rsidP="00293CA2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69BCDC49" w14:textId="0AE4026D" w:rsidR="00293CA2" w:rsidRPr="00293CA2" w:rsidRDefault="00293CA2" w:rsidP="00293CA2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bookmarkStart w:id="1" w:name="_Hlk131657092"/>
      <w:r w:rsidRPr="00293CA2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CA2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0D5BC74C" w14:textId="77777777" w:rsidR="00293CA2" w:rsidRPr="00293CA2" w:rsidRDefault="00293CA2" w:rsidP="00293CA2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293CA2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14F95BDE" w14:textId="77777777" w:rsidR="00293CA2" w:rsidRPr="00293CA2" w:rsidRDefault="00293CA2" w:rsidP="00293CA2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293CA2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3D462266" w14:textId="57F10E90" w:rsidR="00293CA2" w:rsidRPr="00293CA2" w:rsidRDefault="00293CA2" w:rsidP="00293CA2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293CA2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CA2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46A27939" w14:textId="77777777" w:rsidR="00293CA2" w:rsidRPr="00293CA2" w:rsidRDefault="00293CA2" w:rsidP="00293CA2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293CA2">
        <w:rPr>
          <w:rFonts w:ascii="Arial" w:hAnsi="Arial" w:cs="Arial"/>
          <w:bCs/>
          <w:sz w:val="24"/>
          <w:szCs w:val="24"/>
        </w:rPr>
        <w:t>zwiększenia planu dochodów budżetowych, zgodnie z tabelą nr 3;</w:t>
      </w:r>
    </w:p>
    <w:p w14:paraId="62115533" w14:textId="77777777" w:rsidR="00293CA2" w:rsidRPr="00293CA2" w:rsidRDefault="00293CA2" w:rsidP="00293CA2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293CA2">
        <w:rPr>
          <w:rFonts w:ascii="Arial" w:hAnsi="Arial" w:cs="Arial"/>
          <w:bCs/>
          <w:sz w:val="24"/>
          <w:szCs w:val="24"/>
        </w:rPr>
        <w:t>zwiększenia planu wydatków budżetowych, zgodnie z tabelą nr 4.</w:t>
      </w:r>
    </w:p>
    <w:p w14:paraId="4DFE6908" w14:textId="399F58B1" w:rsidR="00293CA2" w:rsidRPr="00293CA2" w:rsidRDefault="00293CA2" w:rsidP="00293CA2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293CA2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CA2">
        <w:rPr>
          <w:rFonts w:ascii="Arial" w:hAnsi="Arial" w:cs="Arial"/>
          <w:sz w:val="24"/>
          <w:szCs w:val="24"/>
        </w:rPr>
        <w:t>Wprowadza się zmiany w planie dotacji podmiotowych i celowych na zadania realizowane przez podmioty należące i nienależące do sektora finansów publicznych, zgodnie z załącznikiem nr 1.</w:t>
      </w:r>
    </w:p>
    <w:p w14:paraId="34103A23" w14:textId="05322B4C" w:rsidR="00293CA2" w:rsidRPr="00293CA2" w:rsidRDefault="00293CA2" w:rsidP="00293CA2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293CA2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CA2">
        <w:rPr>
          <w:rFonts w:ascii="Arial" w:hAnsi="Arial" w:cs="Arial"/>
          <w:sz w:val="24"/>
          <w:szCs w:val="24"/>
        </w:rPr>
        <w:t>Plan budżetu gminy Sulejów po zmianach wynosi:</w:t>
      </w:r>
    </w:p>
    <w:p w14:paraId="6D932F92" w14:textId="77777777" w:rsidR="00293CA2" w:rsidRPr="00293CA2" w:rsidRDefault="00293CA2" w:rsidP="00293CA2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293CA2">
        <w:rPr>
          <w:rFonts w:ascii="Arial" w:hAnsi="Arial" w:cs="Arial"/>
          <w:bCs/>
          <w:sz w:val="24"/>
          <w:szCs w:val="24"/>
        </w:rPr>
        <w:t>dochody 110.895.846,09 zł, w tym:</w:t>
      </w:r>
    </w:p>
    <w:p w14:paraId="4294F298" w14:textId="77777777" w:rsidR="00293CA2" w:rsidRPr="00293CA2" w:rsidRDefault="00293CA2" w:rsidP="00293CA2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293CA2">
        <w:rPr>
          <w:rFonts w:ascii="Arial" w:hAnsi="Arial" w:cs="Arial"/>
          <w:bCs/>
          <w:sz w:val="24"/>
          <w:szCs w:val="24"/>
        </w:rPr>
        <w:t>dochody bieżące 90.411.396,09 zł,</w:t>
      </w:r>
    </w:p>
    <w:p w14:paraId="672B831D" w14:textId="77777777" w:rsidR="00293CA2" w:rsidRPr="00293CA2" w:rsidRDefault="00293CA2" w:rsidP="00293CA2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293CA2">
        <w:rPr>
          <w:rFonts w:ascii="Arial" w:hAnsi="Arial" w:cs="Arial"/>
          <w:bCs/>
          <w:sz w:val="24"/>
          <w:szCs w:val="24"/>
        </w:rPr>
        <w:t>dochody majątkowe 20.484.450,00 zł;</w:t>
      </w:r>
    </w:p>
    <w:p w14:paraId="0B51DDD5" w14:textId="77777777" w:rsidR="00293CA2" w:rsidRPr="00293CA2" w:rsidRDefault="00293CA2" w:rsidP="00293CA2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293CA2">
        <w:rPr>
          <w:rFonts w:ascii="Arial" w:hAnsi="Arial" w:cs="Arial"/>
          <w:bCs/>
          <w:sz w:val="24"/>
          <w:szCs w:val="24"/>
        </w:rPr>
        <w:t>wydatki 120.244.486,98 zł, w tym:</w:t>
      </w:r>
    </w:p>
    <w:p w14:paraId="5EB7F63D" w14:textId="77777777" w:rsidR="00293CA2" w:rsidRPr="00293CA2" w:rsidRDefault="00293CA2" w:rsidP="00293CA2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293CA2">
        <w:rPr>
          <w:rFonts w:ascii="Arial" w:hAnsi="Arial" w:cs="Arial"/>
          <w:bCs/>
          <w:sz w:val="24"/>
          <w:szCs w:val="24"/>
        </w:rPr>
        <w:t>wydatki bieżące 87.086.691,11 zł,</w:t>
      </w:r>
    </w:p>
    <w:p w14:paraId="526E7566" w14:textId="77777777" w:rsidR="00293CA2" w:rsidRPr="00293CA2" w:rsidRDefault="00293CA2" w:rsidP="00293CA2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293CA2">
        <w:rPr>
          <w:rFonts w:ascii="Arial" w:hAnsi="Arial" w:cs="Arial"/>
          <w:bCs/>
          <w:sz w:val="24"/>
          <w:szCs w:val="24"/>
        </w:rPr>
        <w:t>wydatki majątkowe 33.157.795,87 zł.</w:t>
      </w:r>
    </w:p>
    <w:p w14:paraId="729AB1D4" w14:textId="6A60E0C8" w:rsidR="00293CA2" w:rsidRPr="00293CA2" w:rsidRDefault="00293CA2" w:rsidP="00293CA2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293CA2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CA2">
        <w:rPr>
          <w:rFonts w:ascii="Arial" w:hAnsi="Arial" w:cs="Arial"/>
          <w:sz w:val="24"/>
          <w:szCs w:val="24"/>
        </w:rPr>
        <w:t>Zarządzenie wchodzi w życie z dniem podjęcia.</w:t>
      </w:r>
    </w:p>
    <w:bookmarkEnd w:id="1"/>
    <w:p w14:paraId="33A501CF" w14:textId="77777777" w:rsidR="00293CA2" w:rsidRPr="00293CA2" w:rsidRDefault="00293CA2" w:rsidP="00293CA2">
      <w:pPr>
        <w:pStyle w:val="Normal"/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2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2"/>
    </w:p>
    <w:sectPr w:rsidR="006A6730" w:rsidRPr="00E51B9B" w:rsidSect="00924B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3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52CBE"/>
    <w:rsid w:val="0035764E"/>
    <w:rsid w:val="003679E5"/>
    <w:rsid w:val="003763AB"/>
    <w:rsid w:val="003836EB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58</cp:revision>
  <cp:lastPrinted>2023-02-02T06:26:00Z</cp:lastPrinted>
  <dcterms:created xsi:type="dcterms:W3CDTF">2023-02-02T08:06:00Z</dcterms:created>
  <dcterms:modified xsi:type="dcterms:W3CDTF">2024-08-14T06:22:00Z</dcterms:modified>
</cp:coreProperties>
</file>