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B6" w:rsidRDefault="00AC08B6" w:rsidP="00AC08B6">
      <w:r>
        <w:t>Załącznik Nr 2</w:t>
      </w:r>
    </w:p>
    <w:p w:rsidR="00AC08B6" w:rsidRDefault="00AC08B6" w:rsidP="00AC08B6">
      <w:pPr>
        <w:rPr>
          <w:b/>
        </w:rPr>
      </w:pPr>
      <w:r>
        <w:t>do decyzji nr PP.6730.145.2024</w:t>
      </w:r>
      <w:r>
        <w:rPr>
          <w:b/>
        </w:rPr>
        <w:t xml:space="preserve"> </w:t>
      </w:r>
    </w:p>
    <w:p w:rsidR="00AC08B6" w:rsidRDefault="00AC08B6" w:rsidP="00AC08B6">
      <w:r>
        <w:t>z dnia 14.08.2024 r.</w:t>
      </w:r>
    </w:p>
    <w:p w:rsidR="00AC08B6" w:rsidRDefault="00AC08B6" w:rsidP="00AC08B6">
      <w:pPr>
        <w:pStyle w:val="Nagwek1"/>
        <w:jc w:val="center"/>
      </w:pPr>
      <w:r>
        <w:t>Wyniki z analizy</w:t>
      </w:r>
    </w:p>
    <w:p w:rsidR="00AC08B6" w:rsidRPr="00F01F4F" w:rsidRDefault="00AC08B6" w:rsidP="00AC08B6">
      <w:pPr>
        <w:pStyle w:val="Nagwek1"/>
        <w:jc w:val="center"/>
        <w:rPr>
          <w:bCs/>
        </w:rPr>
      </w:pPr>
      <w:r>
        <w:rPr>
          <w:bCs/>
        </w:rPr>
        <w:t>funkcji oraz cech zabudowy i zagospodarowania terenu</w:t>
      </w:r>
    </w:p>
    <w:p w:rsidR="00AC08B6" w:rsidRPr="00383CA5" w:rsidRDefault="00AC08B6" w:rsidP="00AC08B6">
      <w:pPr>
        <w:rPr>
          <w:color w:val="000000"/>
        </w:rPr>
      </w:pPr>
      <w:r>
        <w:t>przeprowadzonej na podstawie art. 61</w:t>
      </w:r>
      <w:r>
        <w:rPr>
          <w:color w:val="000000"/>
        </w:rPr>
        <w:t xml:space="preserve"> ust. 5a </w:t>
      </w:r>
      <w:r>
        <w:rPr>
          <w:bCs/>
          <w:color w:val="000000"/>
        </w:rPr>
        <w:t>ustawy z dnia 27 marca 2003 r. o planowaniu i zagospodarowaniu przestrzennym (</w:t>
      </w:r>
      <w:proofErr w:type="spellStart"/>
      <w:r>
        <w:rPr>
          <w:bCs/>
          <w:color w:val="000000"/>
        </w:rPr>
        <w:t>t.j</w:t>
      </w:r>
      <w:proofErr w:type="spellEnd"/>
      <w:r>
        <w:rPr>
          <w:bCs/>
          <w:color w:val="000000"/>
        </w:rPr>
        <w:t xml:space="preserve">. Dz. U. z 2023 r. poz. 977 z </w:t>
      </w:r>
      <w:proofErr w:type="spellStart"/>
      <w:r>
        <w:rPr>
          <w:bCs/>
          <w:color w:val="000000"/>
        </w:rPr>
        <w:t>późn</w:t>
      </w:r>
      <w:proofErr w:type="spellEnd"/>
      <w:r>
        <w:rPr>
          <w:bCs/>
          <w:color w:val="000000"/>
        </w:rPr>
        <w:t xml:space="preserve">. zm.) oraz </w:t>
      </w:r>
      <w:r>
        <w:rPr>
          <w:color w:val="000000"/>
        </w:rPr>
        <w:t xml:space="preserve">Rozporządzenia Ministra Infrastruktury z dnia 26 sierpnia 2003 r. w sprawie sposobu ustalenia wymagań dotyczących nowej zabudowy i zagospodarowania terenu w przypadku braku miejscowego planu zagospodarowania przestrzennego (Dz. U. z 2003 r. Nr 164, poz. 1588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zm.):</w:t>
      </w:r>
    </w:p>
    <w:p w:rsidR="00AC08B6" w:rsidRDefault="00AC08B6" w:rsidP="00AC08B6">
      <w:pPr>
        <w:rPr>
          <w:b/>
        </w:rPr>
      </w:pPr>
      <w:r>
        <w:rPr>
          <w:b/>
        </w:rPr>
        <w:t xml:space="preserve">Rodzaj inwestycji: </w:t>
      </w:r>
      <w:r w:rsidRPr="00FF04AB">
        <w:rPr>
          <w:b/>
        </w:rPr>
        <w:t>budowa czterdziestu dwóch budynków mie</w:t>
      </w:r>
      <w:r>
        <w:rPr>
          <w:b/>
        </w:rPr>
        <w:t xml:space="preserve">szkalnych jednorodzinnych wraz </w:t>
      </w:r>
      <w:r w:rsidRPr="00FF04AB">
        <w:rPr>
          <w:b/>
        </w:rPr>
        <w:t>z niezbędną infrastrukturą techniczną oraz wydzieleniem drogi wewnętrznej.</w:t>
      </w:r>
    </w:p>
    <w:p w:rsidR="00AC08B6" w:rsidRPr="0086466E" w:rsidRDefault="00AC08B6" w:rsidP="00AC08B6">
      <w:pPr>
        <w:rPr>
          <w:b/>
        </w:rPr>
      </w:pPr>
      <w:r w:rsidRPr="0086466E">
        <w:rPr>
          <w:b/>
        </w:rPr>
        <w:t xml:space="preserve">Lokalizacja inwestycji: na terenie działek o numerze ewidencyjnym 102/3, 101/3 (obręb 0022 Włodzimierzów) położonej przy ul. Łęczyńskiej w miejscowości </w:t>
      </w:r>
    </w:p>
    <w:p w:rsidR="00AC08B6" w:rsidRPr="00F01F4F" w:rsidRDefault="00AC08B6" w:rsidP="00AC08B6">
      <w:pPr>
        <w:rPr>
          <w:b/>
        </w:rPr>
      </w:pPr>
      <w:r>
        <w:rPr>
          <w:b/>
        </w:rPr>
        <w:t xml:space="preserve"> Włodzimierzów, gm. Sulejów.</w:t>
      </w:r>
    </w:p>
    <w:p w:rsidR="00AC08B6" w:rsidRPr="00383CA5" w:rsidRDefault="00AC08B6" w:rsidP="00AC08B6">
      <w:pPr>
        <w:rPr>
          <w:bCs/>
          <w:color w:val="000000"/>
        </w:rPr>
      </w:pPr>
      <w:r>
        <w:rPr>
          <w:bCs/>
        </w:rPr>
        <w:t xml:space="preserve">W celu ustalenia wymagań dla nowej zabudowy i zagospodarowania terenu w zakresie warunków, o których mowa w </w:t>
      </w:r>
      <w:r>
        <w:rPr>
          <w:bCs/>
          <w:color w:val="000000"/>
        </w:rPr>
        <w:t>art. 61 ust. 1-6 ustawy z dnia 27 marca 2003 r. o planowaniu i zagospodarowaniu przestrzennym (</w:t>
      </w:r>
      <w:proofErr w:type="spellStart"/>
      <w:r>
        <w:rPr>
          <w:bCs/>
          <w:color w:val="000000"/>
        </w:rPr>
        <w:t>t.j</w:t>
      </w:r>
      <w:proofErr w:type="spellEnd"/>
      <w:r>
        <w:rPr>
          <w:bCs/>
          <w:color w:val="000000"/>
        </w:rPr>
        <w:t xml:space="preserve">. Dz. U. z 2023 r. poz. 977 z </w:t>
      </w:r>
      <w:proofErr w:type="spellStart"/>
      <w:r>
        <w:rPr>
          <w:bCs/>
          <w:color w:val="000000"/>
        </w:rPr>
        <w:t>późn</w:t>
      </w:r>
      <w:proofErr w:type="spellEnd"/>
      <w:r>
        <w:rPr>
          <w:bCs/>
          <w:color w:val="000000"/>
        </w:rPr>
        <w:t>. zm.) wyznaczono obszar analizowany zgodnie z załącznikiem Nr 3 stanowiącym część graficzną wyników analizy. Na tym obszarze przeprowadzono analizę funkcji oraz cech zabudowy i zagospodarowania terenu w odniesieniu do inwestycji wskazanej we wniosku. Stwierdzono:</w:t>
      </w:r>
    </w:p>
    <w:p w:rsidR="00AC08B6" w:rsidRDefault="00AC08B6" w:rsidP="00AC08B6">
      <w:pPr>
        <w:numPr>
          <w:ilvl w:val="0"/>
          <w:numId w:val="2"/>
        </w:numPr>
        <w:rPr>
          <w:bCs/>
        </w:rPr>
      </w:pPr>
      <w:r>
        <w:rPr>
          <w:b/>
        </w:rPr>
        <w:t xml:space="preserve">Zgodnie z art. 61, ust.1 pkt 1 – </w:t>
      </w:r>
      <w:r>
        <w:rPr>
          <w:bCs/>
        </w:rPr>
        <w:t>sąsiednie działki dostępne z tej samej drogi publicznej są zabudowane w sposób pozwalający na określenie wymagań dotyczących nowej zabudowy w zakresie funkcji parametrów, cech i wskaźników kształtowania zabudowy oraz zagospodarowania terenu, w tym gabarytów i formy architektonicznej obiektów budowlanych, linii zabudowy oraz intensywności wykorzystania terenu.</w:t>
      </w:r>
    </w:p>
    <w:p w:rsidR="00AC08B6" w:rsidRDefault="00AC08B6" w:rsidP="00AC08B6">
      <w:pPr>
        <w:rPr>
          <w:b/>
        </w:rPr>
      </w:pPr>
      <w:r>
        <w:rPr>
          <w:b/>
        </w:rPr>
        <w:t>Wyniki z analizy cech zabudowy i zagospodarowania terenu:</w:t>
      </w:r>
    </w:p>
    <w:p w:rsidR="00AC08B6" w:rsidRDefault="00AC08B6" w:rsidP="00AC08B6">
      <w:pPr>
        <w:numPr>
          <w:ilvl w:val="0"/>
          <w:numId w:val="3"/>
        </w:numPr>
        <w:rPr>
          <w:b/>
        </w:rPr>
      </w:pPr>
      <w:r>
        <w:lastRenderedPageBreak/>
        <w:t xml:space="preserve">linia zabudowy </w:t>
      </w:r>
      <w:r w:rsidRPr="00C74907">
        <w:t xml:space="preserve">– </w:t>
      </w:r>
      <w:r w:rsidRPr="006B5B14">
        <w:t>ustala się nieprzekraczaln</w:t>
      </w:r>
      <w:r>
        <w:t xml:space="preserve">ą linię zabudowy w odległości 15,0 m zewnętrznej krawędzi jezdni drogi wojewódzkiej Nr 742 (ul. Łęczyńska) zgodnie </w:t>
      </w:r>
      <w:r w:rsidRPr="00EB7B7E">
        <w:t>załączn</w:t>
      </w:r>
      <w:r>
        <w:t xml:space="preserve">ikiem graficznym </w:t>
      </w:r>
      <w:r w:rsidRPr="00EB7B7E">
        <w:t>Nr 1</w:t>
      </w:r>
      <w:r>
        <w:t>a</w:t>
      </w:r>
      <w:r w:rsidRPr="00EB7B7E">
        <w:rPr>
          <w:color w:val="000000"/>
        </w:rPr>
        <w:t>,</w:t>
      </w:r>
    </w:p>
    <w:p w:rsidR="00AC08B6" w:rsidRDefault="00AC08B6" w:rsidP="00AC08B6">
      <w:pPr>
        <w:numPr>
          <w:ilvl w:val="0"/>
          <w:numId w:val="3"/>
        </w:numPr>
        <w:rPr>
          <w:b/>
        </w:rPr>
      </w:pPr>
      <w:r w:rsidRPr="00C74907">
        <w:t xml:space="preserve">wielkość powierzchni zabudowy w stosunku do powierzchni </w:t>
      </w:r>
      <w:r>
        <w:t xml:space="preserve">terenu inwestycji – od 0,06 </w:t>
      </w:r>
      <w:r w:rsidRPr="00C74907">
        <w:t>do 0,</w:t>
      </w:r>
      <w:r>
        <w:t>20 (powierzchnia</w:t>
      </w:r>
      <w:r w:rsidRPr="00C74907">
        <w:t xml:space="preserve"> zabudowy </w:t>
      </w:r>
      <w:r>
        <w:t xml:space="preserve">pojedynczego </w:t>
      </w:r>
      <w:r w:rsidRPr="00C74907">
        <w:t xml:space="preserve">budynku </w:t>
      </w:r>
      <w:r>
        <w:t>mieszkalnego od 80</w:t>
      </w:r>
      <w:r w:rsidRPr="00C74907">
        <w:t xml:space="preserve">,0 </w:t>
      </w:r>
      <w:r>
        <w:t>m</w:t>
      </w:r>
      <w:r w:rsidRPr="00F01F4F">
        <w:rPr>
          <w:vertAlign w:val="superscript"/>
        </w:rPr>
        <w:t xml:space="preserve">2 </w:t>
      </w:r>
      <w:r>
        <w:t>do 200</w:t>
      </w:r>
      <w:r w:rsidRPr="00C74907">
        <w:t xml:space="preserve">,0 </w:t>
      </w:r>
      <w:r>
        <w:t>m</w:t>
      </w:r>
      <w:r w:rsidRPr="00F01F4F">
        <w:rPr>
          <w:vertAlign w:val="superscript"/>
        </w:rPr>
        <w:t>2</w:t>
      </w:r>
      <w:r>
        <w:t>),</w:t>
      </w:r>
    </w:p>
    <w:p w:rsidR="00AC08B6" w:rsidRDefault="00AC08B6" w:rsidP="00AC08B6">
      <w:pPr>
        <w:numPr>
          <w:ilvl w:val="0"/>
          <w:numId w:val="3"/>
        </w:numPr>
        <w:rPr>
          <w:b/>
        </w:rPr>
      </w:pPr>
      <w:r>
        <w:t>udział powierzchni biologicznej czynnej minimum 50 %,</w:t>
      </w:r>
    </w:p>
    <w:p w:rsidR="00AC08B6" w:rsidRDefault="00AC08B6" w:rsidP="00AC08B6">
      <w:pPr>
        <w:numPr>
          <w:ilvl w:val="0"/>
          <w:numId w:val="3"/>
        </w:numPr>
        <w:rPr>
          <w:b/>
        </w:rPr>
      </w:pPr>
      <w:r>
        <w:t>szerokość elewacji frontowej – dla budynku mieszkalnego 12,5 m z tolerancją do 20%,</w:t>
      </w:r>
    </w:p>
    <w:p w:rsidR="00AC08B6" w:rsidRDefault="00AC08B6" w:rsidP="00AC08B6">
      <w:pPr>
        <w:numPr>
          <w:ilvl w:val="0"/>
          <w:numId w:val="3"/>
        </w:numPr>
        <w:rPr>
          <w:b/>
        </w:rPr>
      </w:pPr>
      <w:r>
        <w:t>wysokość górnej krawędzi elewacji frontowej (mierzonej od średniego poziomu terenu przed głównym wejściem do budynku) – jej gzymsu, attyki, okapu dachu wyznacza się: dla budynku mieszkalnego na wysokości od 3,0 do 4,5 m, wysokość kalenicy od 5,0 do 9,0 m (w przypadku usytuowania budynku szczytem do frontu działki, wysokość górnej krawędzi elewacji frontowej równa jest wysokości budynku),</w:t>
      </w:r>
    </w:p>
    <w:p w:rsidR="00AC08B6" w:rsidRDefault="00AC08B6" w:rsidP="00AC08B6">
      <w:pPr>
        <w:numPr>
          <w:ilvl w:val="0"/>
          <w:numId w:val="3"/>
        </w:numPr>
        <w:rPr>
          <w:b/>
        </w:rPr>
      </w:pPr>
      <w:r>
        <w:t>geometria dachów zabudowy – dla budynku mieszkalnego dach dwu- lub wielospadowy, o kalenicy głównej prostopadłej bądź równoległej do granicy z działkę nr ewid. 100/8, kąt nachylenia połaci od 25° do 45°,</w:t>
      </w:r>
    </w:p>
    <w:p w:rsidR="00AC08B6" w:rsidRPr="00F01F4F" w:rsidRDefault="00AC08B6" w:rsidP="00AC08B6">
      <w:pPr>
        <w:numPr>
          <w:ilvl w:val="0"/>
          <w:numId w:val="3"/>
        </w:numPr>
        <w:rPr>
          <w:b/>
        </w:rPr>
      </w:pPr>
      <w:r>
        <w:t>droga wewnętrzna – szerokość 6 m, długość drogi do 825 m.</w:t>
      </w:r>
    </w:p>
    <w:p w:rsidR="00AC08B6" w:rsidRDefault="00AC08B6" w:rsidP="00AC08B6">
      <w:pPr>
        <w:numPr>
          <w:ilvl w:val="0"/>
          <w:numId w:val="2"/>
        </w:numPr>
        <w:rPr>
          <w:bCs/>
        </w:rPr>
      </w:pPr>
      <w:r>
        <w:rPr>
          <w:b/>
        </w:rPr>
        <w:t xml:space="preserve">Zgodnie z art. 61, ust. 1 pkt 2 – </w:t>
      </w:r>
      <w:r>
        <w:t xml:space="preserve">teren posiada bezpośredni dostęp do drogi publicznej – </w:t>
      </w:r>
      <w:r>
        <w:rPr>
          <w:bCs/>
        </w:rPr>
        <w:t xml:space="preserve">poprzez projektowany zjazd z drogi wojewódzkiej Nr 742 (ul. Łęczyńska) i poprzez istniejący zjazd z drogi gminnej (ul. </w:t>
      </w:r>
      <w:proofErr w:type="spellStart"/>
      <w:r>
        <w:rPr>
          <w:bCs/>
        </w:rPr>
        <w:t>Podwłodzimierzów</w:t>
      </w:r>
      <w:proofErr w:type="spellEnd"/>
      <w:r>
        <w:rPr>
          <w:bCs/>
        </w:rPr>
        <w:t>) i przejazd przez działki nr ewid. 101/8 i 102/4 (obręb 0022 Włodzimierzów). Projektowana ilość miejsc postojowych/garażowych min. 2</w:t>
      </w:r>
      <w:r w:rsidRPr="00285658">
        <w:rPr>
          <w:bCs/>
        </w:rPr>
        <w:t xml:space="preserve"> szt.</w:t>
      </w:r>
      <w:r>
        <w:rPr>
          <w:bCs/>
        </w:rPr>
        <w:t xml:space="preserve"> na każdy budynek mieszkalny.</w:t>
      </w:r>
    </w:p>
    <w:p w:rsidR="00AC08B6" w:rsidRDefault="00AC08B6" w:rsidP="00AC08B6">
      <w:pPr>
        <w:numPr>
          <w:ilvl w:val="0"/>
          <w:numId w:val="2"/>
        </w:numPr>
        <w:rPr>
          <w:bCs/>
        </w:rPr>
      </w:pPr>
      <w:r w:rsidRPr="00F01F4F">
        <w:rPr>
          <w:b/>
        </w:rPr>
        <w:t xml:space="preserve">Zgodnie z art. 61, ust. 1 pkt 3 – </w:t>
      </w:r>
      <w:r w:rsidRPr="00F01F4F">
        <w:rPr>
          <w:bCs/>
        </w:rPr>
        <w:t>istniejące i projektowane uzbrojenie terenu jest wystarczające dla zamierzenia budowlanego: istniejące sieci: elektroenergetyczna i wodociągowa.</w:t>
      </w:r>
    </w:p>
    <w:p w:rsidR="00AC08B6" w:rsidRDefault="00AC08B6" w:rsidP="00AC08B6">
      <w:pPr>
        <w:numPr>
          <w:ilvl w:val="0"/>
          <w:numId w:val="2"/>
        </w:numPr>
        <w:rPr>
          <w:bCs/>
        </w:rPr>
      </w:pPr>
      <w:r w:rsidRPr="00F01F4F">
        <w:rPr>
          <w:b/>
        </w:rPr>
        <w:t xml:space="preserve">Zgodnie z art. 61, ust 1 pkt 4 – </w:t>
      </w:r>
      <w:r w:rsidRPr="00F01F4F">
        <w:rPr>
          <w:bCs/>
        </w:rPr>
        <w:t>teren objęty wnioskiem, nie wymaga zgody na zmianę przeznaczenia gruntów rolnych na cele nierolnicze – stosownie do wyma</w:t>
      </w:r>
      <w:r>
        <w:rPr>
          <w:bCs/>
        </w:rPr>
        <w:t>gań ustawy z dnia</w:t>
      </w:r>
      <w:r w:rsidRPr="00F01F4F">
        <w:rPr>
          <w:bCs/>
        </w:rPr>
        <w:t xml:space="preserve"> 3 lutego 1995 r. o ochronie gruntów rolnych i leśnych (jednolity tekst: Dz. U. z 2024 r. poz. 82).</w:t>
      </w:r>
    </w:p>
    <w:p w:rsidR="00AC08B6" w:rsidRPr="00F01F4F" w:rsidRDefault="00AC08B6" w:rsidP="00AC08B6">
      <w:pPr>
        <w:numPr>
          <w:ilvl w:val="0"/>
          <w:numId w:val="2"/>
        </w:numPr>
        <w:rPr>
          <w:bCs/>
        </w:rPr>
      </w:pPr>
      <w:r w:rsidRPr="00F01F4F">
        <w:rPr>
          <w:b/>
        </w:rPr>
        <w:lastRenderedPageBreak/>
        <w:t xml:space="preserve">Zgodnie z art. 61, ust 1 pkt 5 – </w:t>
      </w:r>
      <w:r w:rsidRPr="00F01F4F">
        <w:rPr>
          <w:bCs/>
        </w:rPr>
        <w:t>ustalenia warunków zabudowy dla przedstawionej inwestycji jest zgodna z przepisami odrębnymi.</w:t>
      </w:r>
    </w:p>
    <w:p w:rsidR="00AC08B6" w:rsidRDefault="00AC08B6" w:rsidP="00AC08B6">
      <w:pPr>
        <w:numPr>
          <w:ilvl w:val="0"/>
          <w:numId w:val="2"/>
        </w:numPr>
        <w:rPr>
          <w:bCs/>
        </w:rPr>
      </w:pPr>
      <w:r>
        <w:rPr>
          <w:b/>
        </w:rPr>
        <w:t xml:space="preserve">Zgodnie z art. 61, ust 1 pkt </w:t>
      </w:r>
      <w:r w:rsidRPr="002057E7">
        <w:rPr>
          <w:b/>
        </w:rPr>
        <w:t>6</w:t>
      </w:r>
      <w:r w:rsidRPr="002057E7">
        <w:rPr>
          <w:b/>
          <w:bCs/>
        </w:rPr>
        <w:t xml:space="preserve"> </w:t>
      </w:r>
      <w:r w:rsidRPr="00257577">
        <w:t xml:space="preserve"> – zamierzenie budowlane nie znajdzie się w obszarze: </w:t>
      </w:r>
    </w:p>
    <w:p w:rsidR="00AC08B6" w:rsidRDefault="00AC08B6" w:rsidP="00AC08B6">
      <w:pPr>
        <w:numPr>
          <w:ilvl w:val="0"/>
          <w:numId w:val="4"/>
        </w:numPr>
        <w:rPr>
          <w:bCs/>
        </w:rPr>
      </w:pPr>
      <w:r w:rsidRPr="00257577">
        <w:t>w stosunku do którego decyzją o ustaleniu lokalizacji strategicznej inwestycji w zakresie sieci przesyłowej, o której mowa w art. 5 ust. 1 ustawy z dnia 24 lipca 2015 r. o przygotowaniu i realizacji strategicznych  inwestycji w zakresie s</w:t>
      </w:r>
      <w:r>
        <w:t>ieci przesyłowych (Dz. U. z 2023</w:t>
      </w:r>
      <w:r w:rsidRPr="00257577">
        <w:t xml:space="preserve"> r. poz. </w:t>
      </w:r>
      <w:r>
        <w:t xml:space="preserve">1680 z </w:t>
      </w:r>
      <w:proofErr w:type="spellStart"/>
      <w:r>
        <w:t>późn</w:t>
      </w:r>
      <w:proofErr w:type="spellEnd"/>
      <w:r>
        <w:t>. zm.), ustanowiony został zakaz,</w:t>
      </w:r>
      <w:r w:rsidRPr="00257577">
        <w:t xml:space="preserve"> o którym mowa w art. 22 ust. 2 pkt 1 tej ustawy,</w:t>
      </w:r>
    </w:p>
    <w:p w:rsidR="00AC08B6" w:rsidRDefault="00AC08B6" w:rsidP="00AC08B6">
      <w:pPr>
        <w:numPr>
          <w:ilvl w:val="0"/>
          <w:numId w:val="4"/>
        </w:numPr>
        <w:rPr>
          <w:bCs/>
        </w:rPr>
      </w:pPr>
      <w:r w:rsidRPr="00257577">
        <w:t xml:space="preserve">strefy kontrolowanej wyznaczonej po obu stronach gazociągu, </w:t>
      </w:r>
      <w:r>
        <w:t>o których mowa w art. 53 ust. 5e pkt 2,</w:t>
      </w:r>
    </w:p>
    <w:p w:rsidR="00AC08B6" w:rsidRPr="00EB5CB3" w:rsidRDefault="00AC08B6" w:rsidP="00AC08B6">
      <w:pPr>
        <w:numPr>
          <w:ilvl w:val="0"/>
          <w:numId w:val="4"/>
        </w:numPr>
        <w:rPr>
          <w:bCs/>
        </w:rPr>
      </w:pPr>
      <w:r w:rsidRPr="00257577">
        <w:t>strefy bezpieczeństwa wyznaczonej po obu stronach rurociągu.</w:t>
      </w:r>
    </w:p>
    <w:p w:rsidR="00AC08B6" w:rsidRDefault="00AC08B6" w:rsidP="00AC08B6">
      <w:pPr>
        <w:numPr>
          <w:ilvl w:val="0"/>
          <w:numId w:val="2"/>
        </w:numPr>
        <w:rPr>
          <w:bCs/>
        </w:rPr>
      </w:pPr>
      <w:r>
        <w:rPr>
          <w:b/>
        </w:rPr>
        <w:t>W zakresie art. 61, ust. 2 –</w:t>
      </w:r>
      <w:r>
        <w:rPr>
          <w:bCs/>
        </w:rPr>
        <w:t xml:space="preserve"> nie stosuje się.</w:t>
      </w:r>
    </w:p>
    <w:p w:rsidR="00AC08B6" w:rsidRDefault="00AC08B6" w:rsidP="00AC08B6">
      <w:pPr>
        <w:numPr>
          <w:ilvl w:val="0"/>
          <w:numId w:val="2"/>
        </w:numPr>
        <w:rPr>
          <w:bCs/>
        </w:rPr>
      </w:pPr>
      <w:r>
        <w:rPr>
          <w:b/>
        </w:rPr>
        <w:t>W zakresie art. 61, ust. 3 –</w:t>
      </w:r>
      <w:r>
        <w:rPr>
          <w:bCs/>
        </w:rPr>
        <w:t xml:space="preserve"> nie stosuje się.</w:t>
      </w:r>
    </w:p>
    <w:p w:rsidR="00AC08B6" w:rsidRDefault="00AC08B6" w:rsidP="00AC08B6">
      <w:pPr>
        <w:numPr>
          <w:ilvl w:val="0"/>
          <w:numId w:val="2"/>
        </w:numPr>
        <w:rPr>
          <w:bCs/>
        </w:rPr>
      </w:pPr>
      <w:r>
        <w:rPr>
          <w:b/>
        </w:rPr>
        <w:t>W zakresie art. 61, ust. 4 –</w:t>
      </w:r>
      <w:r>
        <w:rPr>
          <w:bCs/>
        </w:rPr>
        <w:t xml:space="preserve"> nie stosuje się.</w:t>
      </w:r>
    </w:p>
    <w:p w:rsidR="00AC08B6" w:rsidRPr="00EB5CB3" w:rsidRDefault="00AC08B6" w:rsidP="00AC08B6">
      <w:pPr>
        <w:numPr>
          <w:ilvl w:val="0"/>
          <w:numId w:val="2"/>
        </w:numPr>
        <w:rPr>
          <w:bCs/>
        </w:rPr>
      </w:pPr>
      <w:r>
        <w:rPr>
          <w:b/>
        </w:rPr>
        <w:t>W zakresie art. 61, ust. 5 –</w:t>
      </w:r>
      <w:r>
        <w:rPr>
          <w:bCs/>
        </w:rPr>
        <w:t xml:space="preserve"> wykonanie ewentualnych projektowanych przyłączy będzie zagwarantowane w drodze umów między inwestorem, a właścicielami sieci.</w:t>
      </w:r>
    </w:p>
    <w:p w:rsidR="00AC08B6" w:rsidRPr="00EB5CB3" w:rsidRDefault="00AC08B6" w:rsidP="00AC08B6">
      <w:pPr>
        <w:rPr>
          <w:u w:val="single"/>
        </w:rPr>
      </w:pPr>
      <w:r>
        <w:rPr>
          <w:u w:val="single"/>
        </w:rPr>
        <w:t>Spełnione są łącznie warunki umożliwiające wydanie decyzji o warunkach zabudowy określone w art. 61, ust. 1-6 ustawy z dnia 27 marca 2003 r. o planowaniu i zagospodarowaniu przestrzennym (</w:t>
      </w:r>
      <w:proofErr w:type="spellStart"/>
      <w:r>
        <w:rPr>
          <w:u w:val="single"/>
        </w:rPr>
        <w:t>t.j</w:t>
      </w:r>
      <w:proofErr w:type="spellEnd"/>
      <w:r>
        <w:rPr>
          <w:u w:val="single"/>
        </w:rPr>
        <w:t xml:space="preserve">. Dz.U. z 2023 r. poz. 977 z </w:t>
      </w:r>
      <w:proofErr w:type="spellStart"/>
      <w:r>
        <w:rPr>
          <w:u w:val="single"/>
        </w:rPr>
        <w:t>późn</w:t>
      </w:r>
      <w:proofErr w:type="spellEnd"/>
      <w:r>
        <w:rPr>
          <w:u w:val="single"/>
        </w:rPr>
        <w:t>. zm.).</w:t>
      </w:r>
    </w:p>
    <w:p w:rsidR="00AC08B6" w:rsidRPr="00EB5CB3" w:rsidRDefault="00AC08B6" w:rsidP="00AC08B6">
      <w:pPr>
        <w:rPr>
          <w:bCs/>
        </w:rPr>
      </w:pPr>
      <w:r>
        <w:rPr>
          <w:bCs/>
        </w:rPr>
        <w:t xml:space="preserve">Wynik przygotował : </w:t>
      </w:r>
      <w:r>
        <w:rPr>
          <w:sz w:val="20"/>
        </w:rPr>
        <w:t>mgr Bohdan Wrzeszcz</w:t>
      </w:r>
      <w:r>
        <w:rPr>
          <w:bCs/>
        </w:rPr>
        <w:t xml:space="preserve"> </w:t>
      </w:r>
      <w:r w:rsidRPr="00EB614A">
        <w:rPr>
          <w:sz w:val="18"/>
          <w:szCs w:val="18"/>
        </w:rPr>
        <w:t>uprawniony urbanista z art. 5 pkt 3 Ustawy z dnia 27 marca 2003 r.</w:t>
      </w:r>
    </w:p>
    <w:p w:rsidR="00AC08B6" w:rsidRPr="00EB5CB3" w:rsidRDefault="00AC08B6" w:rsidP="00AC08B6">
      <w:pPr>
        <w:rPr>
          <w:sz w:val="18"/>
          <w:szCs w:val="18"/>
        </w:rPr>
      </w:pPr>
      <w:r w:rsidRPr="00EB614A">
        <w:rPr>
          <w:sz w:val="18"/>
          <w:szCs w:val="18"/>
        </w:rPr>
        <w:t xml:space="preserve">o planowaniu i </w:t>
      </w:r>
      <w:r>
        <w:rPr>
          <w:sz w:val="18"/>
          <w:szCs w:val="18"/>
        </w:rPr>
        <w:t xml:space="preserve">zagospodarowaniu przestrzennym </w:t>
      </w:r>
    </w:p>
    <w:p w:rsidR="002D7C35" w:rsidRDefault="002D7C35">
      <w:bookmarkStart w:id="0" w:name="_GoBack"/>
      <w:bookmarkEnd w:id="0"/>
    </w:p>
    <w:sectPr w:rsidR="002D7C35">
      <w:footerReference w:type="default" r:id="rId5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19" w:rsidRDefault="00AC08B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:rsidR="00C00219" w:rsidRDefault="00AC08B6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DBE002A"/>
    <w:multiLevelType w:val="hybridMultilevel"/>
    <w:tmpl w:val="FA9E0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A56FB"/>
    <w:multiLevelType w:val="hybridMultilevel"/>
    <w:tmpl w:val="38963BD2"/>
    <w:lvl w:ilvl="0" w:tplc="00000002">
      <w:start w:val="1"/>
      <w:numFmt w:val="upperRoman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24EBE"/>
    <w:multiLevelType w:val="hybridMultilevel"/>
    <w:tmpl w:val="2932C40A"/>
    <w:lvl w:ilvl="0" w:tplc="7A822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9F"/>
    <w:rsid w:val="002D7C35"/>
    <w:rsid w:val="00AC08B6"/>
    <w:rsid w:val="00A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8BBE0-CEC2-4309-9A17-434D587B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8B6"/>
    <w:pPr>
      <w:suppressAutoHyphens/>
      <w:spacing w:after="0" w:line="36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C08B6"/>
    <w:pPr>
      <w:keepNext/>
      <w:numPr>
        <w:numId w:val="1"/>
      </w:numPr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08B6"/>
    <w:rPr>
      <w:rFonts w:ascii="Calibri" w:eastAsia="Times New Roman" w:hAnsi="Calibri" w:cs="Times New Roman"/>
      <w:b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AC08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C08B6"/>
    <w:rPr>
      <w:rFonts w:ascii="Calibri" w:eastAsia="Times New Roman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Bogumiała BG. Gorgoń</dc:creator>
  <cp:keywords/>
  <dc:description/>
  <cp:lastModifiedBy>Bogumiała BG. Gorgoń</cp:lastModifiedBy>
  <cp:revision>2</cp:revision>
  <dcterms:created xsi:type="dcterms:W3CDTF">2024-09-05T12:53:00Z</dcterms:created>
  <dcterms:modified xsi:type="dcterms:W3CDTF">2024-09-05T12:54:00Z</dcterms:modified>
</cp:coreProperties>
</file>