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17839EC7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3A1F71">
        <w:rPr>
          <w:rFonts w:ascii="Arial" w:hAnsi="Arial" w:cs="Arial"/>
        </w:rPr>
        <w:t>25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7A978CF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3A1F71">
        <w:rPr>
          <w:rFonts w:ascii="Arial" w:hAnsi="Arial" w:cs="Arial"/>
          <w:b/>
          <w:sz w:val="28"/>
          <w:szCs w:val="28"/>
        </w:rPr>
        <w:t>25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671AB290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3A1F71">
        <w:rPr>
          <w:rFonts w:ascii="Arial" w:hAnsi="Arial" w:cs="Arial"/>
          <w:sz w:val="24"/>
        </w:rPr>
        <w:t>15</w:t>
      </w:r>
      <w:r w:rsidR="000B3BAB">
        <w:rPr>
          <w:rFonts w:ascii="Arial" w:hAnsi="Arial" w:cs="Arial"/>
          <w:sz w:val="24"/>
        </w:rPr>
        <w:t xml:space="preserve"> października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3A1F71" w:rsidRDefault="00B53F91" w:rsidP="003A1F71">
      <w:pPr>
        <w:rPr>
          <w:rFonts w:ascii="Arial" w:hAnsi="Arial" w:cs="Arial"/>
        </w:rPr>
      </w:pPr>
    </w:p>
    <w:p w14:paraId="224077A2" w14:textId="77777777" w:rsidR="003A1F71" w:rsidRPr="003A1F71" w:rsidRDefault="003A1F71" w:rsidP="003A1F71">
      <w:pPr>
        <w:pStyle w:val="Tekstpodstawowywcity"/>
        <w:ind w:firstLine="0"/>
        <w:jc w:val="left"/>
        <w:rPr>
          <w:rFonts w:ascii="Arial" w:hAnsi="Arial" w:cs="Arial"/>
        </w:rPr>
      </w:pPr>
      <w:r w:rsidRPr="003A1F71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858, poz. 1089), Zarządzenia Nr 224/2024 Burmistrza Sulejowa z dnia 15 października 2024 roku w sprawie zmian w budżecie gminy Sulejów na 2024 rok oraz informacji Burmistrza Sulejowa o zmianach w planie dochodów i wydatków budżetu gminy Sulejów na 2024 rok, zarządzam co następuje:</w:t>
      </w:r>
    </w:p>
    <w:p w14:paraId="1E3A4849" w14:textId="77777777" w:rsidR="003A1F71" w:rsidRPr="003A1F71" w:rsidRDefault="003A1F71" w:rsidP="003A1F71">
      <w:pPr>
        <w:pStyle w:val="Tekstpodstawowywcity"/>
        <w:ind w:firstLine="0"/>
        <w:jc w:val="left"/>
        <w:rPr>
          <w:rFonts w:ascii="Arial" w:hAnsi="Arial" w:cs="Arial"/>
        </w:rPr>
      </w:pPr>
    </w:p>
    <w:p w14:paraId="3CF3E878" w14:textId="43DF66DA" w:rsidR="003A1F71" w:rsidRPr="003A1F71" w:rsidRDefault="003A1F71" w:rsidP="003A1F71">
      <w:pPr>
        <w:tabs>
          <w:tab w:val="left" w:pos="1134"/>
        </w:tabs>
        <w:rPr>
          <w:rFonts w:ascii="Arial" w:hAnsi="Arial" w:cs="Arial"/>
        </w:rPr>
      </w:pPr>
      <w:r w:rsidRPr="003A1F71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3A1F71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742A1629" w14:textId="10F8FBB3" w:rsidR="003A1F71" w:rsidRPr="003A1F71" w:rsidRDefault="003A1F71" w:rsidP="003A1F71">
      <w:pPr>
        <w:tabs>
          <w:tab w:val="left" w:pos="1134"/>
        </w:tabs>
        <w:rPr>
          <w:rFonts w:ascii="Arial" w:hAnsi="Arial" w:cs="Arial"/>
        </w:rPr>
      </w:pPr>
      <w:r w:rsidRPr="003A1F71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3A1F71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DA1298B" w14:textId="4322C565" w:rsidR="003A1F71" w:rsidRPr="003A1F71" w:rsidRDefault="003A1F71" w:rsidP="003A1F71">
      <w:pPr>
        <w:tabs>
          <w:tab w:val="left" w:pos="1134"/>
        </w:tabs>
        <w:rPr>
          <w:rFonts w:ascii="Arial" w:hAnsi="Arial" w:cs="Arial"/>
          <w:b/>
        </w:rPr>
      </w:pPr>
      <w:r w:rsidRPr="003A1F71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3A1F71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7AC37CB4" w14:textId="77777777" w:rsidR="003A1F71" w:rsidRPr="003A1F71" w:rsidRDefault="003A1F71" w:rsidP="003A1F71">
      <w:pPr>
        <w:rPr>
          <w:rFonts w:ascii="Arial" w:hAnsi="Arial" w:cs="Arial"/>
        </w:rPr>
      </w:pPr>
      <w:r w:rsidRPr="003A1F71">
        <w:rPr>
          <w:rFonts w:ascii="Arial" w:hAnsi="Arial" w:cs="Arial"/>
        </w:rPr>
        <w:t>1) dochody – 103.462.693,37 zł, w tym bieżące 83.978.451,57 zł oraz majątkowe 19.484.241,80 zł,</w:t>
      </w:r>
    </w:p>
    <w:p w14:paraId="389402F9" w14:textId="77777777" w:rsidR="003A1F71" w:rsidRPr="003A1F71" w:rsidRDefault="003A1F71" w:rsidP="003A1F71">
      <w:pPr>
        <w:rPr>
          <w:rFonts w:ascii="Arial" w:hAnsi="Arial" w:cs="Arial"/>
        </w:rPr>
      </w:pPr>
      <w:r w:rsidRPr="003A1F71">
        <w:rPr>
          <w:rFonts w:ascii="Arial" w:hAnsi="Arial" w:cs="Arial"/>
        </w:rPr>
        <w:t>2) wydatki – 55.996.071,98 zł, w tym bieżące 26.569.751,40 zł oraz majątkowe 29.426.320,58 zł.</w:t>
      </w:r>
    </w:p>
    <w:p w14:paraId="2142CE6B" w14:textId="764F44A6" w:rsidR="003A1F71" w:rsidRPr="003A1F71" w:rsidRDefault="003A1F71" w:rsidP="003A1F71">
      <w:pPr>
        <w:tabs>
          <w:tab w:val="left" w:pos="1134"/>
        </w:tabs>
        <w:rPr>
          <w:rFonts w:ascii="Arial" w:hAnsi="Arial" w:cs="Arial"/>
          <w:b/>
        </w:rPr>
      </w:pPr>
      <w:r w:rsidRPr="003A1F71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3A1F71">
        <w:rPr>
          <w:rFonts w:ascii="Arial" w:hAnsi="Arial" w:cs="Arial"/>
          <w:bCs/>
        </w:rPr>
        <w:t>Zarządzenie wchodzi w życie z dniem podjęcia.</w:t>
      </w:r>
    </w:p>
    <w:p w14:paraId="5EAC40A7" w14:textId="77777777" w:rsidR="003A1F71" w:rsidRPr="003A1F71" w:rsidRDefault="003A1F71" w:rsidP="003A1F71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14FD" w14:textId="77777777" w:rsidR="0030378D" w:rsidRDefault="0030378D" w:rsidP="00BA483E">
      <w:r>
        <w:separator/>
      </w:r>
    </w:p>
  </w:endnote>
  <w:endnote w:type="continuationSeparator" w:id="0">
    <w:p w14:paraId="3DE2E00A" w14:textId="77777777" w:rsidR="0030378D" w:rsidRDefault="0030378D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84CC" w14:textId="77777777" w:rsidR="0030378D" w:rsidRDefault="0030378D" w:rsidP="00BA483E">
      <w:r>
        <w:separator/>
      </w:r>
    </w:p>
  </w:footnote>
  <w:footnote w:type="continuationSeparator" w:id="0">
    <w:p w14:paraId="7BC84E01" w14:textId="77777777" w:rsidR="0030378D" w:rsidRDefault="0030378D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74</cp:revision>
  <cp:lastPrinted>2023-01-12T12:27:00Z</cp:lastPrinted>
  <dcterms:created xsi:type="dcterms:W3CDTF">2023-03-15T08:25:00Z</dcterms:created>
  <dcterms:modified xsi:type="dcterms:W3CDTF">2024-10-16T07:50:00Z</dcterms:modified>
</cp:coreProperties>
</file>