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D8C936" w14:textId="77777777" w:rsidR="00F06E02" w:rsidRPr="009B2EBF" w:rsidRDefault="009D2FAC" w:rsidP="00097555">
      <w:pPr>
        <w:pStyle w:val="Nagwek1"/>
      </w:pPr>
      <w:proofErr w:type="gramStart"/>
      <w:r w:rsidRPr="009B2EBF">
        <w:t>K</w:t>
      </w:r>
      <w:r w:rsidR="00F06E02" w:rsidRPr="009B2EBF">
        <w:t xml:space="preserve">ARTA  </w:t>
      </w:r>
      <w:r w:rsidR="00F06E02" w:rsidRPr="00097555">
        <w:t>INFORMACYJNA</w:t>
      </w:r>
      <w:proofErr w:type="gramEnd"/>
    </w:p>
    <w:p w14:paraId="6BAC1699" w14:textId="77777777" w:rsidR="00F06E02" w:rsidRPr="009B2EBF" w:rsidRDefault="00871FC5" w:rsidP="00097555">
      <w:pPr>
        <w:pStyle w:val="Nagwek1"/>
      </w:pPr>
      <w:r w:rsidRPr="009B2EBF">
        <w:t xml:space="preserve">Zanim wypełnisz </w:t>
      </w:r>
      <w:r w:rsidRPr="00097555">
        <w:t>wniosek</w:t>
      </w:r>
      <w:r w:rsidRPr="009B2EBF">
        <w:t xml:space="preserve"> przeczytaj</w:t>
      </w:r>
    </w:p>
    <w:tbl>
      <w:tblPr>
        <w:tblW w:w="913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678"/>
        <w:gridCol w:w="1904"/>
      </w:tblGrid>
      <w:tr w:rsidR="006A4D8C" w:rsidRPr="00442160" w14:paraId="403B2FEB" w14:textId="77777777" w:rsidTr="00D221E7">
        <w:trPr>
          <w:trHeight w:val="126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BE0B2" w14:textId="14F7BBB2" w:rsidR="006A4D8C" w:rsidRDefault="00995599">
            <w:pPr>
              <w:snapToGrid w:val="0"/>
              <w:jc w:val="center"/>
              <w:rPr>
                <w:rFonts w:eastAsia="Calibri" w:cs="Calibri"/>
                <w:sz w:val="4"/>
                <w:szCs w:val="4"/>
              </w:rPr>
            </w:pPr>
            <w:r>
              <w:rPr>
                <w:rFonts w:ascii="Times New Roman" w:hAnsi="Times New Roman"/>
                <w:noProof/>
                <w:lang w:eastAsia="pl-PL"/>
              </w:rPr>
              <w:drawing>
                <wp:inline distT="0" distB="0" distL="0" distR="0" wp14:anchorId="4139A39F" wp14:editId="43E07167">
                  <wp:extent cx="426720" cy="445770"/>
                  <wp:effectExtent l="0" t="0" r="0" b="0"/>
                  <wp:docPr id="7" name="Obraz 7" descr="herb Gminy Sulejów przedstawiający mur z czerwonych cegieł z trzema wieżami i bramą, w ktorej stoi średniowieczny rycerz z halabardą" title="herb Gminy Sulejów">
                    <a:extLst xmlns:a="http://schemas.openxmlformats.org/drawingml/2006/main"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7">
                            <a:extLst>
                              <a:ext uri="{C183D7F6-B498-43B3-948B-1728B52AA6E4}">
        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45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  <w:p w14:paraId="4B17E2E8" w14:textId="55115506" w:rsidR="006A4D8C" w:rsidRDefault="006A4D8C">
            <w:pPr>
              <w:jc w:val="center"/>
              <w:rPr>
                <w:rFonts w:eastAsia="Calibri" w:cs="Calibri"/>
                <w:b/>
                <w:color w:val="FF0000"/>
                <w:sz w:val="30"/>
                <w:szCs w:val="30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75CC90" w14:textId="1435B3E4" w:rsidR="0001525D" w:rsidRPr="0001525D" w:rsidRDefault="0001525D" w:rsidP="0001525D">
            <w:pPr>
              <w:keepNext w:val="0"/>
              <w:keepLines w:val="0"/>
              <w:suppressAutoHyphens w:val="0"/>
              <w:spacing w:before="0" w:after="0" w:line="240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  <w:r w:rsidRPr="0001525D">
              <w:rPr>
                <w:rFonts w:eastAsia="Calibri"/>
                <w:sz w:val="18"/>
                <w:szCs w:val="18"/>
                <w:lang w:eastAsia="pl-PL"/>
              </w:rPr>
              <w:t xml:space="preserve">Urząd </w:t>
            </w:r>
            <w:r w:rsidRPr="0001525D">
              <w:rPr>
                <w:rFonts w:eastAsia="Calibri"/>
                <w:color w:val="000000"/>
                <w:sz w:val="18"/>
                <w:szCs w:val="18"/>
                <w:lang w:eastAsia="pl-PL"/>
              </w:rPr>
              <w:t>Miejski w Sulejowie</w:t>
            </w:r>
          </w:p>
          <w:p w14:paraId="2E5CB215" w14:textId="77777777" w:rsidR="0001525D" w:rsidRPr="0001525D" w:rsidRDefault="0001525D" w:rsidP="0001525D">
            <w:pPr>
              <w:keepNext w:val="0"/>
              <w:keepLines w:val="0"/>
              <w:suppressAutoHyphens w:val="0"/>
              <w:spacing w:before="0" w:after="0" w:line="240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  <w:r w:rsidRPr="0001525D">
              <w:rPr>
                <w:rFonts w:eastAsia="Calibri"/>
                <w:color w:val="000000"/>
                <w:sz w:val="18"/>
                <w:szCs w:val="18"/>
                <w:lang w:eastAsia="pl-PL"/>
              </w:rPr>
              <w:t>REFERAT PODATKÓW, OPŁAT</w:t>
            </w:r>
          </w:p>
          <w:p w14:paraId="35289264" w14:textId="77777777" w:rsidR="0001525D" w:rsidRPr="0001525D" w:rsidRDefault="0001525D" w:rsidP="0001525D">
            <w:pPr>
              <w:keepNext w:val="0"/>
              <w:keepLines w:val="0"/>
              <w:suppressAutoHyphens w:val="0"/>
              <w:spacing w:before="0" w:after="0" w:line="240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  <w:r w:rsidRPr="0001525D">
              <w:rPr>
                <w:rFonts w:eastAsia="Calibri"/>
                <w:color w:val="000000"/>
                <w:sz w:val="18"/>
                <w:szCs w:val="18"/>
                <w:lang w:eastAsia="pl-PL"/>
              </w:rPr>
              <w:t>I OCHRONY ŚRODOWISKA</w:t>
            </w:r>
          </w:p>
          <w:p w14:paraId="7084DA18" w14:textId="77777777" w:rsidR="0001525D" w:rsidRPr="0001525D" w:rsidRDefault="0001525D" w:rsidP="0001525D">
            <w:pPr>
              <w:keepNext w:val="0"/>
              <w:keepLines w:val="0"/>
              <w:suppressAutoHyphens w:val="0"/>
              <w:spacing w:before="0" w:after="0" w:line="240" w:lineRule="auto"/>
              <w:jc w:val="center"/>
              <w:rPr>
                <w:rFonts w:eastAsia="Calibri"/>
                <w:sz w:val="18"/>
                <w:szCs w:val="18"/>
                <w:lang w:eastAsia="pl-PL"/>
              </w:rPr>
            </w:pPr>
            <w:proofErr w:type="gramStart"/>
            <w:r w:rsidRPr="0001525D">
              <w:rPr>
                <w:rFonts w:eastAsia="Calibri"/>
                <w:sz w:val="18"/>
                <w:szCs w:val="18"/>
                <w:lang w:eastAsia="pl-PL"/>
              </w:rPr>
              <w:t>ul</w:t>
            </w:r>
            <w:proofErr w:type="gramEnd"/>
            <w:r w:rsidRPr="0001525D">
              <w:rPr>
                <w:rFonts w:eastAsia="Calibri"/>
                <w:sz w:val="18"/>
                <w:szCs w:val="18"/>
                <w:lang w:eastAsia="pl-PL"/>
              </w:rPr>
              <w:t>. Konecka 42, 97-330 Sulejów</w:t>
            </w:r>
          </w:p>
          <w:p w14:paraId="63BD7A76" w14:textId="33AFCDC5" w:rsidR="00715AA8" w:rsidRDefault="0001525D" w:rsidP="0001525D">
            <w:pPr>
              <w:jc w:val="center"/>
              <w:rPr>
                <w:rFonts w:eastAsia="Calibri" w:cs="Calibri"/>
                <w:sz w:val="4"/>
                <w:szCs w:val="4"/>
              </w:rPr>
            </w:pPr>
            <w:r w:rsidRPr="0001525D">
              <w:rPr>
                <w:rFonts w:eastAsia="Calibri"/>
                <w:sz w:val="18"/>
                <w:szCs w:val="18"/>
                <w:lang w:eastAsia="pl-PL"/>
              </w:rPr>
              <w:t xml:space="preserve">tel. 44 6102 521 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AF4D0" w14:textId="053FA8CA" w:rsidR="006A4D8C" w:rsidRPr="00442160" w:rsidRDefault="006A4D8C" w:rsidP="00A02B75">
            <w:pPr>
              <w:rPr>
                <w:rFonts w:eastAsia="Calibri"/>
                <w:color w:val="FF0000"/>
              </w:rPr>
            </w:pPr>
            <w:r w:rsidRPr="00442160">
              <w:rPr>
                <w:rFonts w:eastAsia="Calibri"/>
              </w:rPr>
              <w:t>Karta usługi Nr</w:t>
            </w:r>
            <w:r w:rsidR="009F2B3F">
              <w:rPr>
                <w:rFonts w:eastAsia="Calibri"/>
              </w:rPr>
              <w:t xml:space="preserve"> </w:t>
            </w:r>
            <w:r w:rsidR="00E9071B">
              <w:rPr>
                <w:rFonts w:eastAsia="Calibri"/>
              </w:rPr>
              <w:t>PO</w:t>
            </w:r>
            <w:r w:rsidR="000A0384">
              <w:rPr>
                <w:rFonts w:eastAsia="Calibri"/>
              </w:rPr>
              <w:t>Ś</w:t>
            </w:r>
            <w:r w:rsidR="008F3A89" w:rsidRPr="00442160">
              <w:rPr>
                <w:rFonts w:eastAsia="Calibri"/>
              </w:rPr>
              <w:t>.</w:t>
            </w:r>
            <w:r w:rsidR="00EA7F41">
              <w:rPr>
                <w:rFonts w:eastAsia="Calibri"/>
              </w:rPr>
              <w:t>X</w:t>
            </w:r>
            <w:r w:rsidR="00D41D5E">
              <w:rPr>
                <w:rFonts w:eastAsia="Calibri"/>
              </w:rPr>
              <w:t>I</w:t>
            </w:r>
            <w:bookmarkStart w:id="0" w:name="_GoBack"/>
            <w:bookmarkEnd w:id="0"/>
            <w:r w:rsidR="008F3A89" w:rsidRPr="00442160">
              <w:rPr>
                <w:rFonts w:eastAsia="Calibri"/>
              </w:rPr>
              <w:t>.(</w:t>
            </w:r>
            <w:r w:rsidR="00D73D72" w:rsidRPr="00442160">
              <w:rPr>
                <w:rFonts w:eastAsia="Calibri"/>
              </w:rPr>
              <w:t>1</w:t>
            </w:r>
            <w:r w:rsidRPr="00442160">
              <w:rPr>
                <w:rFonts w:eastAsia="Calibri"/>
              </w:rPr>
              <w:t>).</w:t>
            </w:r>
            <w:r w:rsidR="00442160" w:rsidRPr="00442160">
              <w:rPr>
                <w:rFonts w:eastAsia="Calibri"/>
              </w:rPr>
              <w:t>2</w:t>
            </w:r>
            <w:r w:rsidR="0001525D">
              <w:rPr>
                <w:rFonts w:eastAsia="Calibri"/>
              </w:rPr>
              <w:t>4</w:t>
            </w:r>
          </w:p>
          <w:p w14:paraId="68DEA3B4" w14:textId="77777777" w:rsidR="006A4D8C" w:rsidRPr="00442160" w:rsidRDefault="006A4D8C" w:rsidP="00871FC5">
            <w:pPr>
              <w:jc w:val="center"/>
              <w:rPr>
                <w:rFonts w:eastAsia="Calibri" w:cs="Calibri"/>
                <w:color w:val="FF0000"/>
              </w:rPr>
            </w:pPr>
          </w:p>
        </w:tc>
      </w:tr>
    </w:tbl>
    <w:p w14:paraId="21C635DE" w14:textId="77777777" w:rsidR="0001525D" w:rsidRDefault="0001525D" w:rsidP="00D221E7">
      <w:pPr>
        <w:pStyle w:val="Nagwek1"/>
      </w:pPr>
    </w:p>
    <w:p w14:paraId="5C2428A1" w14:textId="6D0D99B1" w:rsidR="00D221E7" w:rsidRDefault="00EA7F41" w:rsidP="00D221E7">
      <w:pPr>
        <w:pStyle w:val="Nagwek1"/>
      </w:pPr>
      <w:r>
        <w:t xml:space="preserve">ZWROT PODATKU AKCYZOWEGO ZAWARTEGO W CENIE OLEJU NAPĘDOWEGO WYKORZYSTYWANEGO DO PRODUKCJI ROLNEJ  </w:t>
      </w:r>
    </w:p>
    <w:p w14:paraId="2A8F1D20" w14:textId="77777777" w:rsidR="00431EEC" w:rsidRDefault="008F3A89" w:rsidP="000A0384">
      <w:pPr>
        <w:ind w:left="1559" w:hanging="1559"/>
        <w:jc w:val="both"/>
      </w:pPr>
      <w:r w:rsidRPr="00995599">
        <w:t>Podstawa prawna:</w:t>
      </w:r>
      <w:r w:rsidR="00715AA8" w:rsidRPr="00715AA8">
        <w:t xml:space="preserve"> </w:t>
      </w:r>
    </w:p>
    <w:p w14:paraId="1CF7E504" w14:textId="5476D3A9" w:rsidR="00431EEC" w:rsidRDefault="00883A38" w:rsidP="000A0384">
      <w:pPr>
        <w:jc w:val="both"/>
        <w:rPr>
          <w:b/>
        </w:rPr>
      </w:pPr>
      <w:r>
        <w:rPr>
          <w:color w:val="000000"/>
          <w:shd w:val="clear" w:color="auto" w:fill="FFFFFF"/>
        </w:rPr>
        <w:t xml:space="preserve">- ustawa z dnia 14 czerwca 1960 r.- Kodeks postępowania administracyjnego (Dz.U. </w:t>
      </w:r>
      <w:proofErr w:type="gramStart"/>
      <w:r>
        <w:rPr>
          <w:color w:val="000000"/>
          <w:shd w:val="clear" w:color="auto" w:fill="FFFFFF"/>
        </w:rPr>
        <w:t>z</w:t>
      </w:r>
      <w:proofErr w:type="gramEnd"/>
      <w:r>
        <w:rPr>
          <w:color w:val="000000"/>
          <w:shd w:val="clear" w:color="auto" w:fill="FFFFFF"/>
        </w:rPr>
        <w:t xml:space="preserve"> 202</w:t>
      </w:r>
      <w:r w:rsidR="0001525D">
        <w:rPr>
          <w:color w:val="000000"/>
          <w:shd w:val="clear" w:color="auto" w:fill="FFFFFF"/>
        </w:rPr>
        <w:t>4</w:t>
      </w:r>
      <w:r>
        <w:rPr>
          <w:color w:val="000000"/>
          <w:shd w:val="clear" w:color="auto" w:fill="FFFFFF"/>
        </w:rPr>
        <w:t xml:space="preserve"> r. poz. </w:t>
      </w:r>
      <w:r w:rsidR="0001525D">
        <w:rPr>
          <w:color w:val="000000"/>
          <w:shd w:val="clear" w:color="auto" w:fill="FFFFFF"/>
        </w:rPr>
        <w:t>572</w:t>
      </w:r>
      <w:r>
        <w:rPr>
          <w:color w:val="000000"/>
          <w:shd w:val="clear" w:color="auto" w:fill="FFFFFF"/>
        </w:rPr>
        <w:t xml:space="preserve"> ze zm.)</w:t>
      </w:r>
      <w:r w:rsidR="00431EEC" w:rsidRPr="002A2BE6">
        <w:rPr>
          <w:rStyle w:val="apple-converted-space"/>
          <w:color w:val="000000"/>
          <w:shd w:val="clear" w:color="auto" w:fill="FFFFFF"/>
        </w:rPr>
        <w:t> </w:t>
      </w:r>
      <w:r w:rsidR="00431EEC" w:rsidRPr="002A2BE6">
        <w:rPr>
          <w:b/>
        </w:rPr>
        <w:t xml:space="preserve"> </w:t>
      </w:r>
    </w:p>
    <w:p w14:paraId="6E7FEEA3" w14:textId="25D471DF" w:rsidR="00431EEC" w:rsidRDefault="008C34DB" w:rsidP="000A0384">
      <w:pPr>
        <w:jc w:val="both"/>
      </w:pPr>
      <w:proofErr w:type="gramStart"/>
      <w:r w:rsidRPr="008C34DB">
        <w:t xml:space="preserve">- </w:t>
      </w:r>
      <w:r w:rsidR="00EA7F41">
        <w:rPr>
          <w:rFonts w:eastAsia="Arial Unicode MS" w:cs="Arial"/>
        </w:rPr>
        <w:t xml:space="preserve"> </w:t>
      </w:r>
      <w:r w:rsidR="00EA7F41" w:rsidRPr="00EA7F41">
        <w:rPr>
          <w:rFonts w:eastAsia="Arial Unicode MS" w:cs="Arial"/>
        </w:rPr>
        <w:t>Ustawa</w:t>
      </w:r>
      <w:proofErr w:type="gramEnd"/>
      <w:r w:rsidR="00EA7F41" w:rsidRPr="00EA7F41">
        <w:rPr>
          <w:rFonts w:eastAsia="Arial Unicode MS" w:cs="Arial"/>
        </w:rPr>
        <w:t xml:space="preserve"> z dnia 10 marca 2006 r. o zwrocie podatku akcyzowego zawartego w cenie oleju napędowego wykorzystywanego do produkcji rolnej (Dz. U. </w:t>
      </w:r>
      <w:proofErr w:type="gramStart"/>
      <w:r w:rsidR="00EA7F41" w:rsidRPr="00EA7F41">
        <w:rPr>
          <w:rFonts w:eastAsia="Arial Unicode MS" w:cs="Arial"/>
        </w:rPr>
        <w:t>z</w:t>
      </w:r>
      <w:proofErr w:type="gramEnd"/>
      <w:r w:rsidR="00EA7F41" w:rsidRPr="00EA7F41">
        <w:rPr>
          <w:rFonts w:eastAsia="Arial Unicode MS" w:cs="Arial"/>
        </w:rPr>
        <w:t xml:space="preserve"> 20</w:t>
      </w:r>
      <w:r w:rsidR="0001525D">
        <w:rPr>
          <w:rFonts w:eastAsia="Arial Unicode MS" w:cs="Arial"/>
        </w:rPr>
        <w:t>23</w:t>
      </w:r>
      <w:r w:rsidR="004D16E8">
        <w:rPr>
          <w:rFonts w:eastAsia="Arial Unicode MS" w:cs="Arial"/>
        </w:rPr>
        <w:t xml:space="preserve"> r.</w:t>
      </w:r>
      <w:r w:rsidR="00EA7F41" w:rsidRPr="00EA7F41">
        <w:rPr>
          <w:rFonts w:eastAsia="Arial Unicode MS" w:cs="Arial"/>
        </w:rPr>
        <w:t xml:space="preserve"> poz. </w:t>
      </w:r>
      <w:r w:rsidR="0001525D">
        <w:rPr>
          <w:rFonts w:eastAsia="Arial Unicode MS" w:cs="Arial"/>
        </w:rPr>
        <w:t>1948</w:t>
      </w:r>
      <w:r w:rsidR="004D16E8">
        <w:rPr>
          <w:rFonts w:eastAsia="Arial Unicode MS" w:cs="Arial"/>
        </w:rPr>
        <w:t xml:space="preserve"> ze</w:t>
      </w:r>
      <w:r w:rsidR="00EA7F41" w:rsidRPr="00EA7F41">
        <w:rPr>
          <w:rFonts w:eastAsia="Arial Unicode MS" w:cs="Arial"/>
        </w:rPr>
        <w:t xml:space="preserve"> zm.),</w:t>
      </w:r>
    </w:p>
    <w:p w14:paraId="41E86B67" w14:textId="0E5659F8" w:rsidR="001724D9" w:rsidRPr="002E127B" w:rsidRDefault="001724D9" w:rsidP="000A0384">
      <w:pPr>
        <w:jc w:val="both"/>
      </w:pPr>
      <w:r>
        <w:t xml:space="preserve">- </w:t>
      </w:r>
      <w:r w:rsidR="004D16E8" w:rsidRPr="004D16E8">
        <w:t>Rozporządzenie Ministra Rolnictwa i Rozwoju Wsi z dnia 2</w:t>
      </w:r>
      <w:r w:rsidR="0001525D">
        <w:t>6</w:t>
      </w:r>
      <w:r w:rsidR="004D16E8" w:rsidRPr="004D16E8">
        <w:t xml:space="preserve"> </w:t>
      </w:r>
      <w:r w:rsidR="0001525D">
        <w:t>stycznia</w:t>
      </w:r>
      <w:r w:rsidR="004D16E8" w:rsidRPr="004D16E8">
        <w:t xml:space="preserve"> 20</w:t>
      </w:r>
      <w:r w:rsidR="0001525D">
        <w:t xml:space="preserve">24 </w:t>
      </w:r>
      <w:r w:rsidR="004D16E8" w:rsidRPr="004D16E8">
        <w:t xml:space="preserve">r. w sprawie wzoru wniosku o zwrot podatku akcyzowego zawartego w cenie oleju napędowego wykorzystywanego do produkcji rolnej (Dz. U. </w:t>
      </w:r>
      <w:proofErr w:type="gramStart"/>
      <w:r w:rsidR="004D16E8" w:rsidRPr="004D16E8">
        <w:t>z</w:t>
      </w:r>
      <w:proofErr w:type="gramEnd"/>
      <w:r w:rsidR="004D16E8" w:rsidRPr="004D16E8">
        <w:t xml:space="preserve"> 20</w:t>
      </w:r>
      <w:r w:rsidR="0001525D">
        <w:t>24</w:t>
      </w:r>
      <w:r w:rsidR="004D16E8" w:rsidRPr="004D16E8">
        <w:t xml:space="preserve"> r. poz. </w:t>
      </w:r>
      <w:r w:rsidR="0001525D">
        <w:t>106</w:t>
      </w:r>
      <w:r w:rsidR="004D16E8" w:rsidRPr="004D16E8">
        <w:t>).</w:t>
      </w:r>
    </w:p>
    <w:p w14:paraId="57AB7FA3" w14:textId="75E69CF4" w:rsidR="008C34DB" w:rsidRPr="008C34DB" w:rsidRDefault="008C34DB" w:rsidP="000A0384">
      <w:pPr>
        <w:pStyle w:val="nagowek2"/>
        <w:numPr>
          <w:ilvl w:val="0"/>
          <w:numId w:val="32"/>
        </w:numPr>
        <w:spacing w:line="268" w:lineRule="auto"/>
        <w:ind w:left="714" w:hanging="357"/>
        <w:jc w:val="both"/>
        <w:rPr>
          <w:color w:val="000000"/>
        </w:rPr>
      </w:pPr>
      <w:r>
        <w:rPr>
          <w:b w:val="0"/>
        </w:rPr>
        <w:t xml:space="preserve"> </w:t>
      </w:r>
      <w:r>
        <w:t>WYMAGANE DOK</w:t>
      </w:r>
      <w:r>
        <w:rPr>
          <w:rStyle w:val="Naglowek3Znak"/>
          <w:szCs w:val="28"/>
        </w:rPr>
        <w:t>U</w:t>
      </w:r>
      <w:r>
        <w:t xml:space="preserve">MENTY I ZAŁĄCZNIKI </w:t>
      </w:r>
    </w:p>
    <w:p w14:paraId="40D13518" w14:textId="16583BDB" w:rsidR="00D37D5D" w:rsidRPr="00D37D5D" w:rsidRDefault="00D37D5D" w:rsidP="000A0384">
      <w:p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  <w:r w:rsidRPr="00D37D5D">
        <w:rPr>
          <w:color w:val="000000"/>
          <w:shd w:val="clear" w:color="auto" w:fill="FFFFFF"/>
        </w:rPr>
        <w:t>- wniosek o zwrot podatku akcyzowego</w:t>
      </w:r>
      <w:r>
        <w:rPr>
          <w:color w:val="000000"/>
          <w:shd w:val="clear" w:color="auto" w:fill="FFFFFF"/>
        </w:rPr>
        <w:t xml:space="preserve"> zawartego w cenie oleju napędowego wykorzystywanego do produkcji rolnej,</w:t>
      </w:r>
    </w:p>
    <w:p w14:paraId="32DCFF43" w14:textId="71FF59DC" w:rsidR="002E127B" w:rsidRDefault="00D37D5D" w:rsidP="000A0384">
      <w:p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  <w:r w:rsidRPr="00D37D5D">
        <w:rPr>
          <w:color w:val="000000"/>
          <w:shd w:val="clear" w:color="auto" w:fill="FFFFFF"/>
        </w:rPr>
        <w:t xml:space="preserve"> - faktury VAT stanowiące dowód zakupu oleju napędowego wykorzystywanego do produkcji rolnej lub ich potwierdzone z oryginałami faktur kserokopie, celem umieszczenia przez pracownika </w:t>
      </w:r>
      <w:r>
        <w:rPr>
          <w:color w:val="000000"/>
          <w:shd w:val="clear" w:color="auto" w:fill="FFFFFF"/>
        </w:rPr>
        <w:t>organu podatkowego</w:t>
      </w:r>
      <w:r w:rsidRPr="00D37D5D">
        <w:rPr>
          <w:color w:val="000000"/>
          <w:shd w:val="clear" w:color="auto" w:fill="FFFFFF"/>
        </w:rPr>
        <w:t xml:space="preserve"> adnotacji</w:t>
      </w:r>
      <w:proofErr w:type="gramStart"/>
      <w:r w:rsidRPr="00D37D5D">
        <w:rPr>
          <w:color w:val="000000"/>
          <w:shd w:val="clear" w:color="auto" w:fill="FFFFFF"/>
        </w:rPr>
        <w:t>:” przyjęto</w:t>
      </w:r>
      <w:proofErr w:type="gramEnd"/>
      <w:r w:rsidRPr="00D37D5D">
        <w:rPr>
          <w:color w:val="000000"/>
          <w:shd w:val="clear" w:color="auto" w:fill="FFFFFF"/>
        </w:rPr>
        <w:t xml:space="preserve"> w dniu…. </w:t>
      </w:r>
      <w:proofErr w:type="gramStart"/>
      <w:r w:rsidRPr="00D37D5D">
        <w:rPr>
          <w:color w:val="000000"/>
          <w:shd w:val="clear" w:color="auto" w:fill="FFFFFF"/>
        </w:rPr>
        <w:t>do</w:t>
      </w:r>
      <w:proofErr w:type="gramEnd"/>
      <w:r w:rsidRPr="00D37D5D">
        <w:rPr>
          <w:color w:val="000000"/>
          <w:shd w:val="clear" w:color="auto" w:fill="FFFFFF"/>
        </w:rPr>
        <w:t xml:space="preserve"> zwrotu części podatku akcyzowego” na oryginale faktury.  </w:t>
      </w:r>
    </w:p>
    <w:p w14:paraId="145385B4" w14:textId="713950A9" w:rsidR="00F06E02" w:rsidRDefault="00F06E02" w:rsidP="000A0384">
      <w:pPr>
        <w:pStyle w:val="nagowek2"/>
        <w:jc w:val="both"/>
        <w:rPr>
          <w:color w:val="000000"/>
        </w:rPr>
      </w:pPr>
      <w:r>
        <w:t>OPŁATY</w:t>
      </w:r>
    </w:p>
    <w:p w14:paraId="633CFD91" w14:textId="3D687E8A" w:rsidR="00F06E02" w:rsidRPr="00883A38" w:rsidRDefault="00D37D5D" w:rsidP="000A0384">
      <w:pPr>
        <w:jc w:val="both"/>
        <w:rPr>
          <w:color w:val="000000"/>
        </w:rPr>
      </w:pPr>
      <w:r>
        <w:rPr>
          <w:color w:val="000000"/>
        </w:rPr>
        <w:t xml:space="preserve">Brak. </w:t>
      </w:r>
    </w:p>
    <w:p w14:paraId="35D87FD7" w14:textId="7343C485" w:rsidR="00F06E02" w:rsidRPr="00CC51E9" w:rsidRDefault="00F06E02" w:rsidP="000A0384">
      <w:pPr>
        <w:pStyle w:val="nagowek2"/>
        <w:jc w:val="both"/>
      </w:pPr>
      <w:r>
        <w:t>MIEJSCE ZŁOŻENIA WNIOSKU</w:t>
      </w:r>
    </w:p>
    <w:p w14:paraId="4DAD1E9E" w14:textId="2801C470" w:rsidR="0092575C" w:rsidRDefault="0092575C" w:rsidP="000A0384">
      <w:pPr>
        <w:jc w:val="both"/>
      </w:pPr>
      <w:r w:rsidRPr="00D221E7">
        <w:t>Biuro Obsługi Mieszkańców</w:t>
      </w:r>
      <w:r w:rsidR="00A838C5">
        <w:t xml:space="preserve">, Urząd Miejski ul. Konecka 42, 97-330 Sulejów </w:t>
      </w:r>
    </w:p>
    <w:p w14:paraId="057C6021" w14:textId="3AE92A42" w:rsidR="00F06E02" w:rsidRDefault="00F06E02" w:rsidP="000A0384">
      <w:pPr>
        <w:pStyle w:val="nagowek2"/>
        <w:jc w:val="both"/>
      </w:pPr>
      <w:r>
        <w:t xml:space="preserve">TERMIN ROZPATRZENIA WNIOSKU </w:t>
      </w:r>
    </w:p>
    <w:p w14:paraId="0F808578" w14:textId="4BB0CB4E" w:rsidR="00F06E02" w:rsidRPr="004427DB" w:rsidRDefault="00545F7A" w:rsidP="000A0384">
      <w:pPr>
        <w:jc w:val="both"/>
      </w:pPr>
      <w:r>
        <w:t xml:space="preserve">Nie później niż w terminie </w:t>
      </w:r>
      <w:r w:rsidR="00D37D5D">
        <w:t>30</w:t>
      </w:r>
      <w:r>
        <w:t xml:space="preserve"> dni od dnia złożenia wniosku.  </w:t>
      </w:r>
    </w:p>
    <w:p w14:paraId="508CF7E7" w14:textId="0B5D5FF3" w:rsidR="00F06E02" w:rsidRDefault="00F06E02" w:rsidP="000A0384">
      <w:pPr>
        <w:pStyle w:val="nagowek2"/>
        <w:jc w:val="both"/>
        <w:rPr>
          <w:rFonts w:cs="Calibri"/>
        </w:rPr>
      </w:pPr>
      <w:r>
        <w:t>TRYB ODWOŁAWCZY</w:t>
      </w:r>
    </w:p>
    <w:p w14:paraId="190030F6" w14:textId="77777777" w:rsidR="00D37D5D" w:rsidRPr="00D37D5D" w:rsidRDefault="00D37D5D" w:rsidP="000A0384">
      <w:pPr>
        <w:jc w:val="both"/>
        <w:rPr>
          <w:rFonts w:cs="Calibri"/>
        </w:rPr>
      </w:pPr>
      <w:r w:rsidRPr="00D37D5D">
        <w:rPr>
          <w:rFonts w:cs="Calibri"/>
        </w:rPr>
        <w:t xml:space="preserve">Odwołanie wnosi się do Samorządowego Kolegium Odwoławczego w Piotrkowie Tryb. </w:t>
      </w:r>
    </w:p>
    <w:p w14:paraId="13ABF798" w14:textId="37630809" w:rsidR="00D37D5D" w:rsidRDefault="00D37D5D" w:rsidP="000A0384">
      <w:pPr>
        <w:jc w:val="both"/>
        <w:rPr>
          <w:rFonts w:cs="Calibri"/>
        </w:rPr>
      </w:pPr>
      <w:proofErr w:type="gramStart"/>
      <w:r w:rsidRPr="00D37D5D">
        <w:rPr>
          <w:rFonts w:cs="Calibri"/>
        </w:rPr>
        <w:lastRenderedPageBreak/>
        <w:t>ul</w:t>
      </w:r>
      <w:proofErr w:type="gramEnd"/>
      <w:r w:rsidRPr="00D37D5D">
        <w:rPr>
          <w:rFonts w:cs="Calibri"/>
        </w:rPr>
        <w:t>. Słowackiego 19 za pośrednictwem organu, który wydał decyzję (odwołanie składa się w Biurze Obsługi Mieszkańców Urzędu Miejskiego w Sulejowie). Odwołanie wnosi się w terminie 14 dni od dnia doręczenia decyzji.</w:t>
      </w:r>
    </w:p>
    <w:p w14:paraId="132AD92C" w14:textId="5C735B01" w:rsidR="00F06E02" w:rsidRPr="00D221E7" w:rsidRDefault="00F06E02" w:rsidP="000A0384">
      <w:pPr>
        <w:pStyle w:val="nagowek2"/>
        <w:jc w:val="both"/>
        <w:rPr>
          <w:sz w:val="24"/>
          <w:szCs w:val="24"/>
        </w:rPr>
      </w:pPr>
      <w:r w:rsidRPr="00D221E7">
        <w:rPr>
          <w:sz w:val="24"/>
          <w:szCs w:val="24"/>
        </w:rPr>
        <w:t>JEDNOSTKA ODPOWIEDZIALNA</w:t>
      </w:r>
    </w:p>
    <w:p w14:paraId="065345F1" w14:textId="46B27F2C" w:rsidR="00715AA8" w:rsidRDefault="0001525D" w:rsidP="000A0384">
      <w:pPr>
        <w:spacing w:before="0" w:after="0"/>
        <w:jc w:val="both"/>
      </w:pPr>
      <w:r>
        <w:t xml:space="preserve">Referat Podatków, </w:t>
      </w:r>
      <w:r w:rsidR="00715AA8">
        <w:t>Opłat</w:t>
      </w:r>
      <w:r>
        <w:t xml:space="preserve"> i Ochrony Środowiska</w:t>
      </w:r>
      <w:r w:rsidR="00715AA8">
        <w:t xml:space="preserve"> </w:t>
      </w:r>
    </w:p>
    <w:p w14:paraId="43AEE6AC" w14:textId="42D82DE5" w:rsidR="00715AA8" w:rsidRDefault="00715AA8" w:rsidP="000A0384">
      <w:pPr>
        <w:spacing w:before="0" w:after="0"/>
        <w:jc w:val="both"/>
      </w:pPr>
      <w:proofErr w:type="gramStart"/>
      <w:r>
        <w:t>wejście</w:t>
      </w:r>
      <w:proofErr w:type="gramEnd"/>
      <w:r>
        <w:t xml:space="preserve"> </w:t>
      </w:r>
      <w:r w:rsidR="0001525D">
        <w:t>D</w:t>
      </w:r>
      <w:r>
        <w:t xml:space="preserve">, pok. </w:t>
      </w:r>
      <w:r w:rsidR="0001525D">
        <w:t>23</w:t>
      </w:r>
    </w:p>
    <w:p w14:paraId="6DDA1C43" w14:textId="14436068" w:rsidR="007333B0" w:rsidRDefault="00715AA8" w:rsidP="000A0384">
      <w:pPr>
        <w:spacing w:before="0" w:after="0"/>
        <w:jc w:val="both"/>
      </w:pPr>
      <w:r>
        <w:t xml:space="preserve">Tel. 44 610 25 </w:t>
      </w:r>
      <w:r w:rsidR="00FA6AC9">
        <w:t>21</w:t>
      </w:r>
    </w:p>
    <w:p w14:paraId="03D621BC" w14:textId="30887435" w:rsidR="00D37D5D" w:rsidRDefault="00FA6AC9" w:rsidP="000A0384">
      <w:pPr>
        <w:pStyle w:val="nagowek2"/>
        <w:jc w:val="both"/>
      </w:pPr>
      <w:r>
        <w:t>UWAGI</w:t>
      </w:r>
    </w:p>
    <w:p w14:paraId="5953FBD9" w14:textId="77777777" w:rsidR="00D37D5D" w:rsidRDefault="00D37D5D" w:rsidP="000A0384">
      <w:pPr>
        <w:spacing w:before="0" w:after="0"/>
        <w:jc w:val="both"/>
      </w:pPr>
      <w:r>
        <w:t>Termin złożenie wniosku:</w:t>
      </w:r>
    </w:p>
    <w:p w14:paraId="05F18A14" w14:textId="77777777" w:rsidR="00D37D5D" w:rsidRDefault="00D37D5D" w:rsidP="000A0384">
      <w:pPr>
        <w:spacing w:before="0" w:after="0"/>
        <w:jc w:val="both"/>
      </w:pPr>
      <w:r>
        <w:t xml:space="preserve">- od 1 lutego do ostatniego dnia lutego, </w:t>
      </w:r>
    </w:p>
    <w:p w14:paraId="48D8E6AA" w14:textId="1E4AD75E" w:rsidR="00D37D5D" w:rsidRDefault="00D37D5D" w:rsidP="000A0384">
      <w:pPr>
        <w:spacing w:before="0" w:after="0"/>
        <w:jc w:val="both"/>
      </w:pPr>
      <w:r>
        <w:t>- od 1 sierpnia do 31 sierpnia.</w:t>
      </w:r>
    </w:p>
    <w:p w14:paraId="0CA5DDA2" w14:textId="77777777" w:rsidR="00D37D5D" w:rsidRPr="00D37D5D" w:rsidRDefault="00D37D5D" w:rsidP="000A0384">
      <w:pPr>
        <w:spacing w:before="0" w:after="0"/>
        <w:jc w:val="both"/>
        <w:rPr>
          <w:b/>
        </w:rPr>
      </w:pPr>
      <w:r w:rsidRPr="00D37D5D">
        <w:rPr>
          <w:b/>
        </w:rPr>
        <w:t>Informacje dodatkowe:</w:t>
      </w:r>
    </w:p>
    <w:p w14:paraId="5234420E" w14:textId="2C3F4100" w:rsidR="00D37D5D" w:rsidRDefault="00D37D5D" w:rsidP="000A0384">
      <w:pPr>
        <w:spacing w:before="0" w:after="0"/>
        <w:jc w:val="both"/>
      </w:pPr>
      <w:r>
        <w:t xml:space="preserve"> Zwrot podatku akcyzowego zawartego w cenie oleju napędowego wykorzystywanego do produkcji rolnej przysługuje producentom rolnym. </w:t>
      </w:r>
      <w:r w:rsidR="00581CE1">
        <w:t xml:space="preserve">Za producenta rolnego uznaje się osobę fizyczną, osobę prawną lub jednostkę organizacyjną </w:t>
      </w:r>
      <w:proofErr w:type="gramStart"/>
      <w:r w:rsidR="00581CE1">
        <w:t>nie posiadającą</w:t>
      </w:r>
      <w:proofErr w:type="gramEnd"/>
      <w:r w:rsidR="00581CE1">
        <w:t xml:space="preserve"> osobowości prawnej, będącą posiadaczem gospodarstwa rolnego w rozumieniu przepisów o podatku rolnym.</w:t>
      </w:r>
    </w:p>
    <w:p w14:paraId="39D6E163" w14:textId="7F4BBA0F" w:rsidR="00D37D5D" w:rsidRDefault="00581CE1" w:rsidP="000A0384">
      <w:pPr>
        <w:spacing w:before="0" w:after="0"/>
        <w:jc w:val="both"/>
      </w:pPr>
      <w:r>
        <w:t xml:space="preserve">W przypadku, gdy grunty gospodarstwa rolnego stanowią przedmiot </w:t>
      </w:r>
      <w:r w:rsidR="00D37D5D">
        <w:t>współposiadania</w:t>
      </w:r>
      <w:r>
        <w:t>, zwrot podatku akcyzowego przysłu</w:t>
      </w:r>
      <w:r w:rsidR="00A838C5">
        <w:t xml:space="preserve">guje temu współposiadaczowi, </w:t>
      </w:r>
      <w:proofErr w:type="gramStart"/>
      <w:r w:rsidR="00A838C5">
        <w:t xml:space="preserve">co </w:t>
      </w:r>
      <w:r>
        <w:t>do którego</w:t>
      </w:r>
      <w:proofErr w:type="gramEnd"/>
      <w:r>
        <w:t xml:space="preserve"> pozostali współposiadacze wyrazili pisemną zgodę (zgoda będzie wyrażona we wniosku i nie dotyczy współmałżonków). </w:t>
      </w:r>
      <w:r w:rsidR="00D37D5D">
        <w:t xml:space="preserve"> </w:t>
      </w:r>
      <w:r>
        <w:t xml:space="preserve"> </w:t>
      </w:r>
      <w:r w:rsidR="00D37D5D">
        <w:t xml:space="preserve"> </w:t>
      </w:r>
      <w:r>
        <w:t xml:space="preserve"> </w:t>
      </w:r>
    </w:p>
    <w:p w14:paraId="6FD0F478" w14:textId="2BD3A574" w:rsidR="00573BBB" w:rsidRDefault="00581CE1" w:rsidP="000A0384">
      <w:pPr>
        <w:spacing w:before="0" w:after="0"/>
        <w:jc w:val="both"/>
      </w:pPr>
      <w:r>
        <w:t xml:space="preserve">Kwotę zwrotu podatku akcyzowego ustala </w:t>
      </w:r>
      <w:proofErr w:type="gramStart"/>
      <w:r>
        <w:t>się jako</w:t>
      </w:r>
      <w:proofErr w:type="gramEnd"/>
      <w:r>
        <w:t xml:space="preserve"> iloczyn</w:t>
      </w:r>
      <w:r w:rsidR="007A064A">
        <w:t xml:space="preserve"> stawki zwrotu na 1 litr oleju napędowego, liczby 1</w:t>
      </w:r>
      <w:r w:rsidR="00573BBB">
        <w:t>1</w:t>
      </w:r>
      <w:r w:rsidR="00A838C5">
        <w:t>0</w:t>
      </w:r>
      <w:r w:rsidR="00573BBB">
        <w:t xml:space="preserve"> </w:t>
      </w:r>
      <w:r w:rsidR="007A064A">
        <w:t xml:space="preserve">oraz powierzchni użytków rolnych oraz kwoty stanowiącej iloczyn stawki zwrotu podatku na 1 litr oleju napędowego, liczby </w:t>
      </w:r>
      <w:r w:rsidR="00573BBB">
        <w:t>4</w:t>
      </w:r>
      <w:r w:rsidR="007A064A">
        <w:t>0 oraz średniej rocznej liczby dużych j</w:t>
      </w:r>
      <w:r w:rsidR="00573BBB">
        <w:t>ednostek przeliczeniowych bydła, liczby 4 oraz średniej rocznej liczby dużych jednostek przeliczeniowych świni,</w:t>
      </w:r>
      <w:r w:rsidR="00A838C5">
        <w:t xml:space="preserve"> </w:t>
      </w:r>
      <w:r w:rsidR="00573BBB">
        <w:t>liczby 40 oraz średniej rocznej liczby dużych je</w:t>
      </w:r>
      <w:r w:rsidR="00A838C5">
        <w:t xml:space="preserve">dnostek przeliczeniowych owcy, </w:t>
      </w:r>
      <w:r w:rsidR="00573BBB">
        <w:t>liczby 40 oraz średniej rocznej liczby dużych je</w:t>
      </w:r>
      <w:r w:rsidR="00A838C5">
        <w:t xml:space="preserve">dnostek przeliczeniowych kozy, </w:t>
      </w:r>
      <w:r w:rsidR="00573BBB">
        <w:t xml:space="preserve">liczby 40 oraz średniej rocznej liczby dużych jednostek przeliczeniowych koni.    </w:t>
      </w:r>
    </w:p>
    <w:p w14:paraId="63E07501" w14:textId="4257D8EA" w:rsidR="004427DB" w:rsidRDefault="00573BBB" w:rsidP="000A0384">
      <w:pPr>
        <w:spacing w:before="0" w:after="0"/>
        <w:jc w:val="both"/>
      </w:pPr>
      <w:r>
        <w:t xml:space="preserve">  </w:t>
      </w:r>
    </w:p>
    <w:tbl>
      <w:tblPr>
        <w:tblpPr w:leftFromText="141" w:rightFromText="141" w:vertAnchor="text" w:horzAnchor="margin" w:tblpXSpec="center" w:tblpY="610"/>
        <w:tblW w:w="10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8"/>
        <w:gridCol w:w="2205"/>
        <w:gridCol w:w="2250"/>
        <w:gridCol w:w="2205"/>
        <w:gridCol w:w="2420"/>
      </w:tblGrid>
      <w:tr w:rsidR="00715AA8" w:rsidRPr="00A64622" w14:paraId="4D881A78" w14:textId="77777777" w:rsidTr="000D2806">
        <w:trPr>
          <w:trHeight w:val="2117"/>
        </w:trPr>
        <w:tc>
          <w:tcPr>
            <w:tcW w:w="1878" w:type="dxa"/>
          </w:tcPr>
          <w:p w14:paraId="7D1DC787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 xml:space="preserve">Opracował/a – </w:t>
            </w:r>
            <w:r w:rsidRPr="00A64622">
              <w:rPr>
                <w:rFonts w:eastAsia="Calibri" w:cs="Calibri"/>
                <w:i/>
                <w:sz w:val="18"/>
                <w:szCs w:val="18"/>
              </w:rPr>
              <w:t>urzędnik</w:t>
            </w:r>
          </w:p>
          <w:p w14:paraId="7A7C893D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16A9EB77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0FBAE2EA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0415A1FD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4CF41D28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………………………………….</w:t>
            </w:r>
          </w:p>
          <w:p w14:paraId="4C0F74DA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0802A990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692FAF09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205" w:type="dxa"/>
          </w:tcPr>
          <w:p w14:paraId="655ACF2C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Zatwierdził/a pod względem merytorycznym – Kierownik komórki organizacyjnej</w:t>
            </w:r>
          </w:p>
          <w:p w14:paraId="67CAC231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6888D1A0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63DEE2AE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78AB1B34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…………………………………………</w:t>
            </w:r>
          </w:p>
          <w:p w14:paraId="573F8C9B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3C01F3BF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31F0AD45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250" w:type="dxa"/>
          </w:tcPr>
          <w:p w14:paraId="79340375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 xml:space="preserve">Konsultacja – </w:t>
            </w:r>
            <w:r w:rsidRPr="00A64622">
              <w:rPr>
                <w:rFonts w:eastAsia="Calibri" w:cs="Calibri"/>
                <w:i/>
                <w:sz w:val="18"/>
                <w:szCs w:val="18"/>
              </w:rPr>
              <w:t>radca prawny</w:t>
            </w:r>
          </w:p>
          <w:p w14:paraId="5B75A613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4B71096F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4A83BBB1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3AC4635F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1B2506D6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7683F29E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………………………………………….</w:t>
            </w:r>
          </w:p>
          <w:p w14:paraId="3EFF7E0D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6A938CDD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398FF9D0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205" w:type="dxa"/>
          </w:tcPr>
          <w:p w14:paraId="636F803E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 xml:space="preserve">Zaakceptował/a – </w:t>
            </w:r>
            <w:r w:rsidRPr="00A64622">
              <w:rPr>
                <w:rFonts w:eastAsia="Calibri" w:cs="Calibri"/>
                <w:i/>
                <w:sz w:val="18"/>
                <w:szCs w:val="18"/>
              </w:rPr>
              <w:t>z-ca Burmistrza</w:t>
            </w:r>
          </w:p>
          <w:p w14:paraId="4797C901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</w:p>
          <w:p w14:paraId="2506F638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</w:p>
          <w:p w14:paraId="1720876E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</w:p>
          <w:p w14:paraId="55F84C91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</w:p>
          <w:p w14:paraId="319E4D10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…………………………………………</w:t>
            </w:r>
          </w:p>
          <w:p w14:paraId="20FF385B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7A21B0DB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798AAB6E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420" w:type="dxa"/>
          </w:tcPr>
          <w:p w14:paraId="57DF8E20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Zatwierdził/a – Burmistrz</w:t>
            </w:r>
          </w:p>
          <w:p w14:paraId="365C4282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0C7049C0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4AC9FA08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4189CFFC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5EFCD089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23D8F761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……………………………………………..</w:t>
            </w:r>
          </w:p>
          <w:p w14:paraId="55971562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201C45F1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77B3F342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</w:tr>
    </w:tbl>
    <w:p w14:paraId="70E68479" w14:textId="77777777" w:rsidR="00715AA8" w:rsidRPr="00D221E7" w:rsidRDefault="00715AA8" w:rsidP="00715AA8">
      <w:pPr>
        <w:spacing w:before="0" w:after="0"/>
        <w:rPr>
          <w:rFonts w:ascii="Arial" w:hAnsi="Arial" w:cs="Arial"/>
          <w:b/>
        </w:rPr>
      </w:pPr>
    </w:p>
    <w:sectPr w:rsidR="00715AA8" w:rsidRPr="00D221E7" w:rsidSect="00EB3E2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230"/>
        </w:tabs>
        <w:ind w:left="1230" w:hanging="360"/>
      </w:pPr>
    </w:lvl>
    <w:lvl w:ilvl="2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047C40BF"/>
    <w:multiLevelType w:val="multilevel"/>
    <w:tmpl w:val="420C3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5374E64"/>
    <w:multiLevelType w:val="hybridMultilevel"/>
    <w:tmpl w:val="0EAAFFD4"/>
    <w:lvl w:ilvl="0" w:tplc="0415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5" w15:restartNumberingAfterBreak="0">
    <w:nsid w:val="08FD0E8A"/>
    <w:multiLevelType w:val="multilevel"/>
    <w:tmpl w:val="EBA81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C22548"/>
    <w:multiLevelType w:val="hybridMultilevel"/>
    <w:tmpl w:val="EF948F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C4875"/>
    <w:multiLevelType w:val="hybridMultilevel"/>
    <w:tmpl w:val="DF7C5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D56067"/>
    <w:multiLevelType w:val="hybridMultilevel"/>
    <w:tmpl w:val="11009830"/>
    <w:lvl w:ilvl="0" w:tplc="BF944A1A">
      <w:start w:val="1"/>
      <w:numFmt w:val="upperRoman"/>
      <w:pStyle w:val="nago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556D87"/>
    <w:multiLevelType w:val="hybridMultilevel"/>
    <w:tmpl w:val="7D1035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CB2B91"/>
    <w:multiLevelType w:val="multilevel"/>
    <w:tmpl w:val="2AD8E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C95328"/>
    <w:multiLevelType w:val="hybridMultilevel"/>
    <w:tmpl w:val="FC7E3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0A3159"/>
    <w:multiLevelType w:val="hybridMultilevel"/>
    <w:tmpl w:val="A48877CE"/>
    <w:lvl w:ilvl="0" w:tplc="A6A0F2F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332C17"/>
    <w:multiLevelType w:val="hybridMultilevel"/>
    <w:tmpl w:val="4BA2D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B26995"/>
    <w:multiLevelType w:val="hybridMultilevel"/>
    <w:tmpl w:val="9CC4A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6A0FFB"/>
    <w:multiLevelType w:val="hybridMultilevel"/>
    <w:tmpl w:val="72884D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E5C02EA"/>
    <w:multiLevelType w:val="multilevel"/>
    <w:tmpl w:val="F9F26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A25D4E"/>
    <w:multiLevelType w:val="hybridMultilevel"/>
    <w:tmpl w:val="7AC4116E"/>
    <w:lvl w:ilvl="0" w:tplc="92C4CBE6">
      <w:start w:val="1"/>
      <w:numFmt w:val="upperRoman"/>
      <w:pStyle w:val="Naglowek3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B37447"/>
    <w:multiLevelType w:val="hybridMultilevel"/>
    <w:tmpl w:val="EDE035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6E7A91"/>
    <w:multiLevelType w:val="multilevel"/>
    <w:tmpl w:val="D54C4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F9125EB"/>
    <w:multiLevelType w:val="multilevel"/>
    <w:tmpl w:val="CACC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5"/>
  </w:num>
  <w:num w:numId="15">
    <w:abstractNumId w:val="26"/>
  </w:num>
  <w:num w:numId="16">
    <w:abstractNumId w:val="30"/>
  </w:num>
  <w:num w:numId="17">
    <w:abstractNumId w:val="20"/>
  </w:num>
  <w:num w:numId="18">
    <w:abstractNumId w:val="24"/>
  </w:num>
  <w:num w:numId="19">
    <w:abstractNumId w:val="28"/>
  </w:num>
  <w:num w:numId="20">
    <w:abstractNumId w:val="29"/>
  </w:num>
  <w:num w:numId="21">
    <w:abstractNumId w:val="13"/>
  </w:num>
  <w:num w:numId="22">
    <w:abstractNumId w:val="16"/>
  </w:num>
  <w:num w:numId="23">
    <w:abstractNumId w:val="17"/>
  </w:num>
  <w:num w:numId="24">
    <w:abstractNumId w:val="21"/>
  </w:num>
  <w:num w:numId="25">
    <w:abstractNumId w:val="19"/>
  </w:num>
  <w:num w:numId="26">
    <w:abstractNumId w:val="25"/>
  </w:num>
  <w:num w:numId="27">
    <w:abstractNumId w:val="22"/>
  </w:num>
  <w:num w:numId="28">
    <w:abstractNumId w:val="23"/>
  </w:num>
  <w:num w:numId="29">
    <w:abstractNumId w:val="14"/>
  </w:num>
  <w:num w:numId="30">
    <w:abstractNumId w:val="27"/>
  </w:num>
  <w:num w:numId="31">
    <w:abstractNumId w:val="18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75C"/>
    <w:rsid w:val="0001525D"/>
    <w:rsid w:val="00016146"/>
    <w:rsid w:val="00045766"/>
    <w:rsid w:val="0007388B"/>
    <w:rsid w:val="00082521"/>
    <w:rsid w:val="00097555"/>
    <w:rsid w:val="000A0384"/>
    <w:rsid w:val="000C5F33"/>
    <w:rsid w:val="000F1E8F"/>
    <w:rsid w:val="00121D2A"/>
    <w:rsid w:val="0013042A"/>
    <w:rsid w:val="00135246"/>
    <w:rsid w:val="00151A2A"/>
    <w:rsid w:val="001724D9"/>
    <w:rsid w:val="00173914"/>
    <w:rsid w:val="001A683D"/>
    <w:rsid w:val="001C313F"/>
    <w:rsid w:val="001C5E36"/>
    <w:rsid w:val="0026033C"/>
    <w:rsid w:val="002D5C8D"/>
    <w:rsid w:val="002D79CC"/>
    <w:rsid w:val="002E127B"/>
    <w:rsid w:val="002E7361"/>
    <w:rsid w:val="00312F8D"/>
    <w:rsid w:val="00376AC8"/>
    <w:rsid w:val="00376C1C"/>
    <w:rsid w:val="00387F93"/>
    <w:rsid w:val="003964B7"/>
    <w:rsid w:val="003C6D80"/>
    <w:rsid w:val="00404E55"/>
    <w:rsid w:val="00424AD6"/>
    <w:rsid w:val="00431EEC"/>
    <w:rsid w:val="004325A7"/>
    <w:rsid w:val="00442160"/>
    <w:rsid w:val="004427DB"/>
    <w:rsid w:val="004436DC"/>
    <w:rsid w:val="00454BD6"/>
    <w:rsid w:val="00455F3D"/>
    <w:rsid w:val="00486EAC"/>
    <w:rsid w:val="004A7036"/>
    <w:rsid w:val="004B3F06"/>
    <w:rsid w:val="004D16E8"/>
    <w:rsid w:val="00507BD6"/>
    <w:rsid w:val="0053586A"/>
    <w:rsid w:val="00545F7A"/>
    <w:rsid w:val="00573BBB"/>
    <w:rsid w:val="00581CE1"/>
    <w:rsid w:val="00595B11"/>
    <w:rsid w:val="005B11D9"/>
    <w:rsid w:val="005C34D1"/>
    <w:rsid w:val="005D15D4"/>
    <w:rsid w:val="005D40C1"/>
    <w:rsid w:val="005D557F"/>
    <w:rsid w:val="005D5B66"/>
    <w:rsid w:val="00602198"/>
    <w:rsid w:val="0060573C"/>
    <w:rsid w:val="00653BEB"/>
    <w:rsid w:val="006A4D8C"/>
    <w:rsid w:val="006C6DBE"/>
    <w:rsid w:val="00715AA8"/>
    <w:rsid w:val="007333B0"/>
    <w:rsid w:val="00734D95"/>
    <w:rsid w:val="00745A38"/>
    <w:rsid w:val="00776548"/>
    <w:rsid w:val="007A064A"/>
    <w:rsid w:val="007C7673"/>
    <w:rsid w:val="008005CA"/>
    <w:rsid w:val="00833523"/>
    <w:rsid w:val="00871FC5"/>
    <w:rsid w:val="00883A38"/>
    <w:rsid w:val="008B4250"/>
    <w:rsid w:val="008C34DB"/>
    <w:rsid w:val="008D02AB"/>
    <w:rsid w:val="008F3A89"/>
    <w:rsid w:val="008F4699"/>
    <w:rsid w:val="00922BBA"/>
    <w:rsid w:val="00922E12"/>
    <w:rsid w:val="0092575C"/>
    <w:rsid w:val="00935C6C"/>
    <w:rsid w:val="00946DD5"/>
    <w:rsid w:val="00963232"/>
    <w:rsid w:val="00995599"/>
    <w:rsid w:val="009A7A05"/>
    <w:rsid w:val="009B2EBF"/>
    <w:rsid w:val="009C1622"/>
    <w:rsid w:val="009D2FAC"/>
    <w:rsid w:val="009D3796"/>
    <w:rsid w:val="009D41DB"/>
    <w:rsid w:val="009F2B3F"/>
    <w:rsid w:val="00A00005"/>
    <w:rsid w:val="00A02B75"/>
    <w:rsid w:val="00A2692A"/>
    <w:rsid w:val="00A5072F"/>
    <w:rsid w:val="00A838C5"/>
    <w:rsid w:val="00A84E75"/>
    <w:rsid w:val="00A931C8"/>
    <w:rsid w:val="00AB40D1"/>
    <w:rsid w:val="00AF14A6"/>
    <w:rsid w:val="00B10E3E"/>
    <w:rsid w:val="00B327BC"/>
    <w:rsid w:val="00B36850"/>
    <w:rsid w:val="00B659DF"/>
    <w:rsid w:val="00B8435C"/>
    <w:rsid w:val="00CC2730"/>
    <w:rsid w:val="00CC51E9"/>
    <w:rsid w:val="00D165C3"/>
    <w:rsid w:val="00D16874"/>
    <w:rsid w:val="00D221E7"/>
    <w:rsid w:val="00D37D5D"/>
    <w:rsid w:val="00D41D5E"/>
    <w:rsid w:val="00D73D72"/>
    <w:rsid w:val="00D81743"/>
    <w:rsid w:val="00D8735C"/>
    <w:rsid w:val="00DA0BF0"/>
    <w:rsid w:val="00E61B0F"/>
    <w:rsid w:val="00E8757C"/>
    <w:rsid w:val="00E9071B"/>
    <w:rsid w:val="00EA7F41"/>
    <w:rsid w:val="00EB3E2F"/>
    <w:rsid w:val="00ED7778"/>
    <w:rsid w:val="00F06E02"/>
    <w:rsid w:val="00F459E7"/>
    <w:rsid w:val="00F64EFF"/>
    <w:rsid w:val="00F711CF"/>
    <w:rsid w:val="00F9366F"/>
    <w:rsid w:val="00FA590C"/>
    <w:rsid w:val="00FA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562424A"/>
  <w15:docId w15:val="{ADCA7FBC-52B4-4E3F-ABA9-DBD7E8F16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6874"/>
    <w:pPr>
      <w:keepNext/>
      <w:keepLines/>
      <w:suppressAutoHyphens/>
      <w:spacing w:before="120" w:after="120" w:line="269" w:lineRule="auto"/>
    </w:pPr>
    <w:rPr>
      <w:rFonts w:ascii="Calibri" w:hAnsi="Calibri"/>
      <w:sz w:val="24"/>
      <w:szCs w:val="24"/>
      <w:lang w:eastAsia="zh-CN"/>
    </w:rPr>
  </w:style>
  <w:style w:type="paragraph" w:styleId="Nagwek1">
    <w:name w:val="heading 1"/>
    <w:basedOn w:val="Nagwek10"/>
    <w:next w:val="Normalny"/>
    <w:link w:val="Nagwek1Znak"/>
    <w:uiPriority w:val="9"/>
    <w:qFormat/>
    <w:rsid w:val="009F2B3F"/>
    <w:pPr>
      <w:jc w:val="center"/>
      <w:outlineLvl w:val="0"/>
    </w:pPr>
    <w:rPr>
      <w:rFonts w:ascii="Calibri" w:eastAsiaTheme="majorEastAsia" w:hAnsi="Calibr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2EBF"/>
    <w:p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4">
    <w:name w:val="WW8Num8z4"/>
    <w:rPr>
      <w:rFonts w:ascii="Courier New" w:hAnsi="Courier New" w:cs="Courier New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3z0">
    <w:name w:val="WW8Num13z0"/>
    <w:rPr>
      <w:b w:val="0"/>
    </w:rPr>
  </w:style>
  <w:style w:type="character" w:customStyle="1" w:styleId="WW8Num14z0">
    <w:name w:val="WW8Num14z0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  <w:basedOn w:val="Domylnaczcionkaakapitu1"/>
  </w:style>
  <w:style w:type="character" w:styleId="Uwydatnienie">
    <w:name w:val="Emphasis"/>
    <w:uiPriority w:val="20"/>
    <w:qFormat/>
    <w:rPr>
      <w:i/>
      <w:iCs/>
    </w:rPr>
  </w:style>
  <w:style w:type="paragraph" w:customStyle="1" w:styleId="Nagwek10">
    <w:name w:val="Nagłówek1"/>
    <w:basedOn w:val="Normalny"/>
    <w:next w:val="Tekstpodstawowy"/>
    <w:rPr>
      <w:rFonts w:ascii="Arial" w:eastAsia="Lucida Sans Unicode" w:hAnsi="Arial" w:cs="Mangal"/>
      <w:szCs w:val="28"/>
    </w:r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Default">
    <w:name w:val="Default"/>
    <w:rsid w:val="00922E1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yteHipercze">
    <w:name w:val="FollowedHyperlink"/>
    <w:uiPriority w:val="99"/>
    <w:semiHidden/>
    <w:unhideWhenUsed/>
    <w:rsid w:val="00A00005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5B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95B11"/>
    <w:rPr>
      <w:rFonts w:ascii="Segoe UI" w:hAnsi="Segoe UI" w:cs="Segoe UI"/>
      <w:sz w:val="18"/>
      <w:szCs w:val="18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9F2B3F"/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customStyle="1" w:styleId="Styl1">
    <w:name w:val="Styl1"/>
    <w:basedOn w:val="Nagwek2"/>
    <w:qFormat/>
    <w:rsid w:val="009B2EBF"/>
    <w:pPr>
      <w:spacing w:before="120" w:after="120"/>
      <w:jc w:val="center"/>
    </w:pPr>
    <w:rPr>
      <w:rFonts w:ascii="Calibri" w:hAnsi="Calibri"/>
      <w:color w:val="auto"/>
      <w:szCs w:val="28"/>
    </w:rPr>
  </w:style>
  <w:style w:type="paragraph" w:customStyle="1" w:styleId="nagowek2">
    <w:name w:val="nagłowek 2"/>
    <w:basedOn w:val="Nagwek2"/>
    <w:link w:val="nagowek2Znak"/>
    <w:qFormat/>
    <w:rsid w:val="004436DC"/>
    <w:pPr>
      <w:numPr>
        <w:numId w:val="31"/>
      </w:numPr>
      <w:spacing w:before="240"/>
    </w:pPr>
    <w:rPr>
      <w:rFonts w:ascii="Calibri" w:hAnsi="Calibri"/>
      <w:b/>
      <w:color w:val="auto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2EB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paragraph" w:customStyle="1" w:styleId="Naglowek3">
    <w:name w:val="Naglowek 3"/>
    <w:basedOn w:val="Normalny"/>
    <w:link w:val="Naglowek3Znak"/>
    <w:qFormat/>
    <w:rsid w:val="00B36850"/>
    <w:pPr>
      <w:numPr>
        <w:numId w:val="30"/>
      </w:numPr>
      <w:spacing w:after="0"/>
    </w:pPr>
    <w:rPr>
      <w:b/>
      <w:sz w:val="26"/>
    </w:rPr>
  </w:style>
  <w:style w:type="character" w:customStyle="1" w:styleId="nagowek2Znak">
    <w:name w:val="nagłowek 2 Znak"/>
    <w:basedOn w:val="Nagwek2Znak"/>
    <w:link w:val="nagowek2"/>
    <w:rsid w:val="004436DC"/>
    <w:rPr>
      <w:rFonts w:ascii="Calibri" w:eastAsiaTheme="majorEastAsia" w:hAnsi="Calibri" w:cstheme="majorBidi"/>
      <w:b/>
      <w:color w:val="2E74B5" w:themeColor="accent1" w:themeShade="BF"/>
      <w:sz w:val="26"/>
      <w:szCs w:val="26"/>
      <w:lang w:eastAsia="zh-CN"/>
    </w:rPr>
  </w:style>
  <w:style w:type="character" w:customStyle="1" w:styleId="Naglowek3Znak">
    <w:name w:val="Naglowek 3 Znak"/>
    <w:basedOn w:val="Domylnaczcionkaakapitu"/>
    <w:link w:val="Naglowek3"/>
    <w:rsid w:val="00B36850"/>
    <w:rPr>
      <w:rFonts w:ascii="Calibri" w:hAnsi="Calibri"/>
      <w:b/>
      <w:sz w:val="26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7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3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9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4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6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5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611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520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 INFORMACYJNA</vt:lpstr>
    </vt:vector>
  </TitlesOfParts>
  <Company/>
  <LinksUpToDate>false</LinksUpToDate>
  <CharactersWithSpaces>3634</CharactersWithSpaces>
  <SharedDoc>false</SharedDoc>
  <HLinks>
    <vt:vector size="6" baseType="variant">
      <vt:variant>
        <vt:i4>7929873</vt:i4>
      </vt:variant>
      <vt:variant>
        <vt:i4>0</vt:i4>
      </vt:variant>
      <vt:variant>
        <vt:i4>0</vt:i4>
      </vt:variant>
      <vt:variant>
        <vt:i4>5</vt:i4>
      </vt:variant>
      <vt:variant>
        <vt:lpwstr>http://www.um.warszawa.pl/sites/default/files/ao-01-b_wniosek_zgloszenie_utraty_lub_uszkodzenia_dowodu_osobistego.pdf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 INFORMACYJNA</dc:title>
  <dc:creator>Sowinski_2</dc:creator>
  <cp:lastModifiedBy>Katarzyna KP.. Podlewska</cp:lastModifiedBy>
  <cp:revision>9</cp:revision>
  <cp:lastPrinted>2024-10-09T08:04:00Z</cp:lastPrinted>
  <dcterms:created xsi:type="dcterms:W3CDTF">2024-09-13T09:20:00Z</dcterms:created>
  <dcterms:modified xsi:type="dcterms:W3CDTF">2024-10-09T08:04:00Z</dcterms:modified>
</cp:coreProperties>
</file>