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0055D1C5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DE3A10">
        <w:rPr>
          <w:rFonts w:ascii="Arial" w:hAnsi="Arial" w:cs="Arial"/>
        </w:rPr>
        <w:t>82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6E61BADD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DE3A10">
        <w:rPr>
          <w:rFonts w:ascii="Arial" w:hAnsi="Arial" w:cs="Arial"/>
          <w:b/>
          <w:sz w:val="28"/>
          <w:szCs w:val="28"/>
        </w:rPr>
        <w:t>82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73F6F072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DE3A10">
        <w:rPr>
          <w:rFonts w:ascii="Arial" w:hAnsi="Arial" w:cs="Arial"/>
          <w:sz w:val="24"/>
        </w:rPr>
        <w:t>31</w:t>
      </w:r>
      <w:r w:rsidR="00A91782">
        <w:rPr>
          <w:rFonts w:ascii="Arial" w:hAnsi="Arial" w:cs="Arial"/>
          <w:sz w:val="24"/>
        </w:rPr>
        <w:t xml:space="preserve"> grudnia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DE3A10" w:rsidRDefault="00E51B9B" w:rsidP="00DE3A1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72481034" w14:textId="7B995D7B" w:rsidR="00DE3A10" w:rsidRPr="00DE3A10" w:rsidRDefault="00DE3A10" w:rsidP="00DE3A1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DE3A10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1572), art. 257 ustawy z dnia 27 sierpnia 2009 roku o finansach publicznych (t.j. Dz.U. z 2024 r. poz. 1530, poz. 1572, poz. 1717, poz. 1756), § 17 i § 18 Uchwały Nr LXXI/603/2023 Rady Miejskiej w Sulejowie z dnia 19 grudnia 2023 roku w sprawie uchwalenia budżetu gminy Sulejów na 2024 rok, zarządzam co następuje:</w:t>
      </w:r>
    </w:p>
    <w:p w14:paraId="51A28D61" w14:textId="77777777" w:rsidR="00DE3A10" w:rsidRPr="00DE3A10" w:rsidRDefault="00DE3A10" w:rsidP="00DE3A1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416B10E" w14:textId="32F1AEB6" w:rsidR="00DE3A10" w:rsidRDefault="00DE3A10" w:rsidP="00DE3A10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bookmarkStart w:id="1" w:name="_Hlk131657092"/>
      <w:r w:rsidRPr="00DE3A10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3A10">
        <w:rPr>
          <w:rFonts w:ascii="Arial" w:hAnsi="Arial" w:cs="Arial"/>
          <w:sz w:val="24"/>
          <w:szCs w:val="24"/>
        </w:rPr>
        <w:t xml:space="preserve">Wprowadza się zmiany w planie wydatków budżetowych, </w:t>
      </w:r>
      <w:r w:rsidRPr="00DE3A10">
        <w:rPr>
          <w:rFonts w:ascii="Arial" w:hAnsi="Arial" w:cs="Arial"/>
          <w:bCs/>
          <w:sz w:val="24"/>
          <w:szCs w:val="24"/>
        </w:rPr>
        <w:t>zgodnie z tabelą nr 1.</w:t>
      </w:r>
    </w:p>
    <w:p w14:paraId="28333B13" w14:textId="68F7EBDF" w:rsidR="0089767A" w:rsidRPr="0089767A" w:rsidRDefault="0089767A" w:rsidP="0089767A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89767A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9767A">
        <w:rPr>
          <w:rFonts w:ascii="Arial" w:hAnsi="Arial" w:cs="Arial"/>
          <w:sz w:val="24"/>
          <w:szCs w:val="24"/>
        </w:rPr>
        <w:t xml:space="preserve">Wprowadza się zmiany w planie wydatków związanych z realizacją zadań z zakresu administracji rządowej i innych zadań zleconych odrębnymi ustawami, </w:t>
      </w:r>
      <w:r w:rsidRPr="0089767A">
        <w:rPr>
          <w:rFonts w:ascii="Arial" w:hAnsi="Arial" w:cs="Arial"/>
          <w:bCs/>
          <w:sz w:val="24"/>
          <w:szCs w:val="24"/>
        </w:rPr>
        <w:t>zgodnie z tabelą nr 2.</w:t>
      </w:r>
    </w:p>
    <w:p w14:paraId="559358BA" w14:textId="22826520" w:rsidR="00DE3A10" w:rsidRPr="0089767A" w:rsidRDefault="00DE3A10" w:rsidP="0089767A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89767A">
        <w:rPr>
          <w:rFonts w:ascii="Arial" w:hAnsi="Arial" w:cs="Arial"/>
          <w:b/>
          <w:bCs/>
          <w:sz w:val="24"/>
          <w:szCs w:val="24"/>
        </w:rPr>
        <w:t xml:space="preserve">§ </w:t>
      </w:r>
      <w:r w:rsidR="0089767A">
        <w:rPr>
          <w:rFonts w:ascii="Arial" w:hAnsi="Arial" w:cs="Arial"/>
          <w:b/>
          <w:bCs/>
          <w:sz w:val="24"/>
          <w:szCs w:val="24"/>
        </w:rPr>
        <w:t>3</w:t>
      </w:r>
      <w:r w:rsidRPr="0089767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9767A">
        <w:rPr>
          <w:rFonts w:ascii="Arial" w:hAnsi="Arial" w:cs="Arial"/>
          <w:sz w:val="24"/>
          <w:szCs w:val="24"/>
        </w:rPr>
        <w:t>Plan budżetu gminy Sulejów po zmianach wynosi:</w:t>
      </w:r>
    </w:p>
    <w:p w14:paraId="10BFADF7" w14:textId="77777777" w:rsidR="00DE3A10" w:rsidRPr="00DE3A10" w:rsidRDefault="00DE3A10" w:rsidP="00DE3A10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DE3A10">
        <w:rPr>
          <w:rFonts w:ascii="Arial" w:hAnsi="Arial" w:cs="Arial"/>
          <w:bCs/>
          <w:sz w:val="24"/>
          <w:szCs w:val="24"/>
        </w:rPr>
        <w:t>dochody 107.751.421,96 zł, w tym:</w:t>
      </w:r>
    </w:p>
    <w:p w14:paraId="2481A0C4" w14:textId="77777777" w:rsidR="00DE3A10" w:rsidRPr="00DE3A10" w:rsidRDefault="00DE3A10" w:rsidP="00DE3A10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DE3A10">
        <w:rPr>
          <w:rFonts w:ascii="Arial" w:hAnsi="Arial" w:cs="Arial"/>
          <w:bCs/>
          <w:sz w:val="24"/>
          <w:szCs w:val="24"/>
        </w:rPr>
        <w:t>dochody bieżące 95.395.777,42 zł,</w:t>
      </w:r>
    </w:p>
    <w:p w14:paraId="1C015659" w14:textId="77777777" w:rsidR="00DE3A10" w:rsidRPr="00DE3A10" w:rsidRDefault="00DE3A10" w:rsidP="00DE3A10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DE3A10">
        <w:rPr>
          <w:rFonts w:ascii="Arial" w:hAnsi="Arial" w:cs="Arial"/>
          <w:bCs/>
          <w:sz w:val="24"/>
          <w:szCs w:val="24"/>
        </w:rPr>
        <w:t>dochody majątkowe 12.355.644,54 zł;</w:t>
      </w:r>
    </w:p>
    <w:p w14:paraId="7A5A5152" w14:textId="77777777" w:rsidR="00DE3A10" w:rsidRPr="00DE3A10" w:rsidRDefault="00DE3A10" w:rsidP="00DE3A10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DE3A10">
        <w:rPr>
          <w:rFonts w:ascii="Arial" w:hAnsi="Arial" w:cs="Arial"/>
          <w:bCs/>
          <w:sz w:val="24"/>
          <w:szCs w:val="24"/>
        </w:rPr>
        <w:t>wydatki 114.100.062,85 zł, w tym:</w:t>
      </w:r>
    </w:p>
    <w:p w14:paraId="75EEB172" w14:textId="77777777" w:rsidR="00DE3A10" w:rsidRPr="00DE3A10" w:rsidRDefault="00DE3A10" w:rsidP="00DE3A10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DE3A10">
        <w:rPr>
          <w:rFonts w:ascii="Arial" w:hAnsi="Arial" w:cs="Arial"/>
          <w:bCs/>
          <w:sz w:val="24"/>
          <w:szCs w:val="24"/>
        </w:rPr>
        <w:t>wydatki bieżące 87.808.052,92 zł,</w:t>
      </w:r>
    </w:p>
    <w:p w14:paraId="611A4997" w14:textId="77777777" w:rsidR="00DE3A10" w:rsidRPr="00DE3A10" w:rsidRDefault="00DE3A10" w:rsidP="00DE3A10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DE3A10">
        <w:rPr>
          <w:rFonts w:ascii="Arial" w:hAnsi="Arial" w:cs="Arial"/>
          <w:bCs/>
          <w:sz w:val="24"/>
          <w:szCs w:val="24"/>
        </w:rPr>
        <w:t>wydatki majątkowe 26.292.009,93 zł;</w:t>
      </w:r>
    </w:p>
    <w:p w14:paraId="48860457" w14:textId="457C75F9" w:rsidR="00DE3A10" w:rsidRPr="00DE3A10" w:rsidRDefault="00DE3A10" w:rsidP="00DE3A10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DE3A10">
        <w:rPr>
          <w:rFonts w:ascii="Arial" w:hAnsi="Arial" w:cs="Arial"/>
          <w:b/>
          <w:bCs/>
          <w:sz w:val="24"/>
          <w:szCs w:val="24"/>
        </w:rPr>
        <w:t xml:space="preserve">§ </w:t>
      </w:r>
      <w:r w:rsidR="0089767A">
        <w:rPr>
          <w:rFonts w:ascii="Arial" w:hAnsi="Arial" w:cs="Arial"/>
          <w:b/>
          <w:bCs/>
          <w:sz w:val="24"/>
          <w:szCs w:val="24"/>
        </w:rPr>
        <w:t>4</w:t>
      </w:r>
      <w:r w:rsidRPr="00DE3A1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3A10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561D88C5" w14:textId="77777777" w:rsidR="00DE3A10" w:rsidRPr="00DE3A10" w:rsidRDefault="00DE3A10" w:rsidP="00DE3A1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AD6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E720F"/>
    <w:rsid w:val="004F0AC0"/>
    <w:rsid w:val="004F3B6C"/>
    <w:rsid w:val="004F58CA"/>
    <w:rsid w:val="004F5C7B"/>
    <w:rsid w:val="00511150"/>
    <w:rsid w:val="0051192F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77BE9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9767A"/>
    <w:rsid w:val="008A154E"/>
    <w:rsid w:val="008A3627"/>
    <w:rsid w:val="008A3F0B"/>
    <w:rsid w:val="008B2B53"/>
    <w:rsid w:val="008B647F"/>
    <w:rsid w:val="008B7A4A"/>
    <w:rsid w:val="008F6451"/>
    <w:rsid w:val="009002EE"/>
    <w:rsid w:val="00904E24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8122F"/>
    <w:rsid w:val="00A900F3"/>
    <w:rsid w:val="00A91782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432A6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22BC"/>
    <w:rsid w:val="00C3387A"/>
    <w:rsid w:val="00C433DC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3A10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47270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5EFD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205B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72</cp:revision>
  <cp:lastPrinted>2023-02-02T06:26:00Z</cp:lastPrinted>
  <dcterms:created xsi:type="dcterms:W3CDTF">2023-02-02T08:06:00Z</dcterms:created>
  <dcterms:modified xsi:type="dcterms:W3CDTF">2025-01-07T07:06:00Z</dcterms:modified>
</cp:coreProperties>
</file>