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DFAB" w14:textId="20D5401B" w:rsidR="00791591" w:rsidRPr="00663018" w:rsidRDefault="00791591" w:rsidP="0079159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60273">
        <w:rPr>
          <w:rFonts w:ascii="Arial" w:hAnsi="Arial" w:cs="Arial"/>
          <w:sz w:val="20"/>
          <w:szCs w:val="20"/>
        </w:rPr>
        <w:t xml:space="preserve">Sulejów, </w:t>
      </w:r>
      <w:r w:rsidR="00860273" w:rsidRPr="00860273">
        <w:rPr>
          <w:rFonts w:ascii="Arial" w:hAnsi="Arial" w:cs="Arial"/>
          <w:sz w:val="20"/>
          <w:szCs w:val="20"/>
        </w:rPr>
        <w:t>02</w:t>
      </w:r>
      <w:r w:rsidR="00860273">
        <w:rPr>
          <w:rFonts w:ascii="Arial" w:hAnsi="Arial" w:cs="Arial"/>
          <w:sz w:val="20"/>
          <w:szCs w:val="20"/>
        </w:rPr>
        <w:t>.01.2025</w:t>
      </w:r>
      <w:r w:rsidRPr="00663018">
        <w:rPr>
          <w:rFonts w:ascii="Arial" w:hAnsi="Arial" w:cs="Arial"/>
          <w:sz w:val="20"/>
          <w:szCs w:val="20"/>
        </w:rPr>
        <w:t xml:space="preserve"> </w:t>
      </w:r>
    </w:p>
    <w:p w14:paraId="368197B6" w14:textId="77777777" w:rsidR="00791591" w:rsidRDefault="00791591" w:rsidP="0079159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4A5ECDF" w14:textId="1B25C5C3" w:rsidR="00791591" w:rsidRPr="00E7421F" w:rsidRDefault="00791591" w:rsidP="0079159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421F">
        <w:rPr>
          <w:rFonts w:ascii="Arial" w:hAnsi="Arial" w:cs="Arial"/>
          <w:b/>
          <w:bCs/>
        </w:rPr>
        <w:t xml:space="preserve">RAPORT Z KONSULTACJI SPOŁECZNYCH </w:t>
      </w:r>
      <w:r w:rsidRPr="00E7421F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PROJEKTU </w:t>
      </w:r>
      <w:r w:rsidRPr="00E7421F">
        <w:rPr>
          <w:rFonts w:ascii="Arial" w:hAnsi="Arial" w:cs="Arial"/>
          <w:b/>
          <w:bCs/>
        </w:rPr>
        <w:t xml:space="preserve">GMINNEGO PROGRAMU REWITALIZACJI GMINY </w:t>
      </w:r>
      <w:r>
        <w:rPr>
          <w:rFonts w:ascii="Arial" w:hAnsi="Arial" w:cs="Arial"/>
          <w:b/>
          <w:bCs/>
        </w:rPr>
        <w:t>SULEJÓW</w:t>
      </w:r>
    </w:p>
    <w:p w14:paraId="0C7CF2FE" w14:textId="77777777" w:rsidR="00791591" w:rsidRPr="007A44E0" w:rsidRDefault="00791591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1D52F86" w14:textId="44958DE0" w:rsidR="007A44E0" w:rsidRPr="007A44E0" w:rsidRDefault="00EA168B" w:rsidP="007A44E0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Na podstawie art. 5a ustawy z dnia 8 marca 1990 roku o samorządzie gminnym </w:t>
      </w:r>
      <w:bookmarkStart w:id="0" w:name="_Hlk187738772"/>
      <w:r w:rsidRPr="007A44E0">
        <w:rPr>
          <w:rFonts w:ascii="Arial" w:hAnsi="Arial" w:cs="Arial"/>
          <w:sz w:val="20"/>
          <w:szCs w:val="20"/>
        </w:rPr>
        <w:t>(t. j. Dz. U. z 2024 r. poz. 1465, 1572</w:t>
      </w:r>
      <w:r w:rsidR="00BF54A6">
        <w:rPr>
          <w:rFonts w:ascii="Arial" w:hAnsi="Arial" w:cs="Arial"/>
          <w:sz w:val="20"/>
          <w:szCs w:val="20"/>
        </w:rPr>
        <w:t>, 1907,1940</w:t>
      </w:r>
      <w:r w:rsidRPr="007A44E0">
        <w:rPr>
          <w:rFonts w:ascii="Arial" w:hAnsi="Arial" w:cs="Arial"/>
          <w:sz w:val="20"/>
          <w:szCs w:val="20"/>
        </w:rPr>
        <w:t xml:space="preserve">), </w:t>
      </w:r>
      <w:bookmarkEnd w:id="0"/>
      <w:r w:rsidRPr="007A44E0">
        <w:rPr>
          <w:rFonts w:ascii="Arial" w:hAnsi="Arial" w:cs="Arial"/>
          <w:sz w:val="20"/>
          <w:szCs w:val="20"/>
        </w:rPr>
        <w:t>art. 6 oraz art. 17 ust. 2 pkt 4 ustawy z dnia 9 października 2015 r. o rewitalizacji (tj. Dz. U. z 2024 r. poz. 278) Burmistrz Sulejowa zarządziła przeprowadzenie konsultacji społecznych, zwanych dalej konsultacjami, projektu Gminnego Programu Rewitalizacji Gminy Sulejów</w:t>
      </w:r>
      <w:r w:rsidR="007A44E0" w:rsidRPr="007A44E0">
        <w:rPr>
          <w:rFonts w:ascii="Arial" w:hAnsi="Arial" w:cs="Arial"/>
          <w:sz w:val="20"/>
          <w:szCs w:val="20"/>
        </w:rPr>
        <w:t>.</w:t>
      </w:r>
    </w:p>
    <w:p w14:paraId="360CCFF6" w14:textId="5A15CAF7" w:rsidR="00EA168B" w:rsidRPr="007A44E0" w:rsidRDefault="00EA168B" w:rsidP="007A44E0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Przedmiotem konsultacji </w:t>
      </w:r>
      <w:r w:rsidR="007A44E0" w:rsidRPr="007A44E0">
        <w:rPr>
          <w:rFonts w:ascii="Arial" w:hAnsi="Arial" w:cs="Arial"/>
          <w:sz w:val="20"/>
          <w:szCs w:val="20"/>
        </w:rPr>
        <w:t>był</w:t>
      </w:r>
      <w:r w:rsidRPr="007A44E0">
        <w:rPr>
          <w:rFonts w:ascii="Arial" w:hAnsi="Arial" w:cs="Arial"/>
          <w:sz w:val="20"/>
          <w:szCs w:val="20"/>
        </w:rPr>
        <w:t xml:space="preserve"> projekt Gminnego Programu Rewitalizacji Gminy Sulejów sporządzony zgodnie z Uchwałą XII/103/2024 Rady Miejskiej w Sulejowie z dnia 28 listopada 2024</w:t>
      </w:r>
      <w:r w:rsidR="00BF54A6">
        <w:rPr>
          <w:rFonts w:ascii="Arial" w:hAnsi="Arial" w:cs="Arial"/>
          <w:sz w:val="20"/>
          <w:szCs w:val="20"/>
        </w:rPr>
        <w:br/>
      </w:r>
      <w:r w:rsidR="007A44E0">
        <w:rPr>
          <w:rFonts w:ascii="Arial" w:hAnsi="Arial" w:cs="Arial"/>
          <w:sz w:val="20"/>
          <w:szCs w:val="20"/>
        </w:rPr>
        <w:t xml:space="preserve"> r.</w:t>
      </w:r>
      <w:r w:rsidRPr="007A44E0">
        <w:rPr>
          <w:rFonts w:ascii="Arial" w:hAnsi="Arial" w:cs="Arial"/>
          <w:sz w:val="20"/>
          <w:szCs w:val="20"/>
        </w:rPr>
        <w:t xml:space="preserve"> w</w:t>
      </w:r>
      <w:r w:rsidR="007A44E0">
        <w:rPr>
          <w:rFonts w:ascii="Arial" w:hAnsi="Arial" w:cs="Arial"/>
          <w:sz w:val="20"/>
          <w:szCs w:val="20"/>
        </w:rPr>
        <w:t> </w:t>
      </w:r>
      <w:r w:rsidRPr="007A44E0">
        <w:rPr>
          <w:rFonts w:ascii="Arial" w:hAnsi="Arial" w:cs="Arial"/>
          <w:sz w:val="20"/>
          <w:szCs w:val="20"/>
        </w:rPr>
        <w:t>sprawie przystąpienia do sporządzenia Gminnego Programu Rewitalizacji Gminy Sulejów, który zosta</w:t>
      </w:r>
      <w:r w:rsidR="007A44E0" w:rsidRPr="007A44E0">
        <w:rPr>
          <w:rFonts w:ascii="Arial" w:hAnsi="Arial" w:cs="Arial"/>
          <w:sz w:val="20"/>
          <w:szCs w:val="20"/>
        </w:rPr>
        <w:t>ł</w:t>
      </w:r>
      <w:r w:rsidRPr="007A44E0">
        <w:rPr>
          <w:rFonts w:ascii="Arial" w:hAnsi="Arial" w:cs="Arial"/>
          <w:sz w:val="20"/>
          <w:szCs w:val="20"/>
        </w:rPr>
        <w:t xml:space="preserve"> zamieszczony do publicznego wglądu poprzez:</w:t>
      </w:r>
    </w:p>
    <w:p w14:paraId="2492D827" w14:textId="77777777" w:rsidR="00EA168B" w:rsidRPr="007A44E0" w:rsidRDefault="00EA168B" w:rsidP="007A44E0">
      <w:pPr>
        <w:spacing w:before="120" w:after="120"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1) zamieszczenie w Biuletynie Informacji Publicznej: sulejow.biuletyn.net</w:t>
      </w:r>
    </w:p>
    <w:p w14:paraId="307B0418" w14:textId="77777777" w:rsidR="00EA168B" w:rsidRPr="007A44E0" w:rsidRDefault="00EA168B" w:rsidP="007A44E0">
      <w:pPr>
        <w:spacing w:before="120" w:after="120"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2) zamieszczenie na stronie internetowej sulejow.pl w zakładce – </w:t>
      </w:r>
      <w:r w:rsidRPr="007A44E0">
        <w:rPr>
          <w:rFonts w:ascii="Arial" w:hAnsi="Arial" w:cs="Arial"/>
          <w:i/>
          <w:iCs/>
          <w:sz w:val="20"/>
          <w:szCs w:val="20"/>
        </w:rPr>
        <w:t>Strategie i Programy</w:t>
      </w:r>
    </w:p>
    <w:p w14:paraId="70C3BD9B" w14:textId="0576C930" w:rsidR="007A44E0" w:rsidRDefault="00EA168B" w:rsidP="007A44E0">
      <w:pPr>
        <w:spacing w:before="120" w:after="120"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3) udostępnienie w siedzibie Urzędu Miejskiego w Sulejowie przy ulicy Koneckiej 42, 97-330 Sulejów, Referat Rozwoju i Funduszy Zewnętrznych z możliwością zgłaszania uwag,</w:t>
      </w:r>
      <w:r w:rsidR="00BF54A6">
        <w:rPr>
          <w:rFonts w:ascii="Arial" w:hAnsi="Arial" w:cs="Arial"/>
          <w:sz w:val="20"/>
          <w:szCs w:val="20"/>
        </w:rPr>
        <w:br/>
      </w:r>
      <w:r w:rsidRPr="007A44E0">
        <w:rPr>
          <w:rFonts w:ascii="Arial" w:hAnsi="Arial" w:cs="Arial"/>
          <w:sz w:val="20"/>
          <w:szCs w:val="20"/>
        </w:rPr>
        <w:t xml:space="preserve"> opinii i propozycji zmian</w:t>
      </w:r>
    </w:p>
    <w:p w14:paraId="5B5D2B7C" w14:textId="2146E0B2" w:rsidR="00BF54A6" w:rsidRPr="007A44E0" w:rsidRDefault="00BF54A6" w:rsidP="007A44E0">
      <w:pPr>
        <w:spacing w:before="120" w:after="120" w:line="276" w:lineRule="auto"/>
        <w:ind w:left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ogłoszeni na tablicach informacyjnych Obwodów Samorządów Mieszkańców informacji dot. przeprowadzanych konsultacji. </w:t>
      </w:r>
    </w:p>
    <w:p w14:paraId="3EDCB5C5" w14:textId="4D2DB5FF" w:rsidR="00EA168B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Celem konsultacji </w:t>
      </w:r>
      <w:r w:rsidR="007A44E0" w:rsidRPr="007A44E0">
        <w:rPr>
          <w:rFonts w:ascii="Arial" w:hAnsi="Arial" w:cs="Arial"/>
          <w:sz w:val="20"/>
          <w:szCs w:val="20"/>
        </w:rPr>
        <w:t>było</w:t>
      </w:r>
      <w:r w:rsidRPr="007A44E0">
        <w:rPr>
          <w:rFonts w:ascii="Arial" w:hAnsi="Arial" w:cs="Arial"/>
          <w:sz w:val="20"/>
          <w:szCs w:val="20"/>
        </w:rPr>
        <w:t xml:space="preserve"> zapewnienie udziału interesariuszy w przygotowaniu dokumentów dotyczących procesu rewitalizacji, wymiana wiedzy i informacji oraz poznanie opinii w sprawie projektu Gminnego Programu Rewitalizacji.</w:t>
      </w:r>
    </w:p>
    <w:p w14:paraId="1A21977E" w14:textId="2DD7222F" w:rsidR="00EA168B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Konsultacje społeczne, prowadzon</w:t>
      </w:r>
      <w:r w:rsidR="007A44E0" w:rsidRPr="007A44E0">
        <w:rPr>
          <w:rFonts w:ascii="Arial" w:hAnsi="Arial" w:cs="Arial"/>
          <w:sz w:val="20"/>
          <w:szCs w:val="20"/>
        </w:rPr>
        <w:t>o</w:t>
      </w:r>
      <w:r w:rsidRPr="007A44E0">
        <w:rPr>
          <w:rFonts w:ascii="Arial" w:hAnsi="Arial" w:cs="Arial"/>
          <w:sz w:val="20"/>
          <w:szCs w:val="20"/>
        </w:rPr>
        <w:t xml:space="preserve"> w okresie </w:t>
      </w:r>
      <w:r w:rsidRPr="00BF54A6">
        <w:rPr>
          <w:rFonts w:ascii="Arial" w:hAnsi="Arial" w:cs="Arial"/>
          <w:b/>
          <w:bCs/>
          <w:sz w:val="20"/>
          <w:szCs w:val="20"/>
        </w:rPr>
        <w:t>od 29 listopada 2024 r. do 2 stycznia 2025</w:t>
      </w:r>
      <w:r w:rsidRPr="007A44E0">
        <w:rPr>
          <w:rFonts w:ascii="Arial" w:hAnsi="Arial" w:cs="Arial"/>
          <w:sz w:val="20"/>
          <w:szCs w:val="20"/>
        </w:rPr>
        <w:t xml:space="preserve"> r.</w:t>
      </w:r>
    </w:p>
    <w:p w14:paraId="15BD7C17" w14:textId="16F246B4" w:rsidR="00EA168B" w:rsidRPr="007A44E0" w:rsidRDefault="00EA168B" w:rsidP="007A44E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Uprawnionymi do udziału w konsultacjach </w:t>
      </w:r>
      <w:r w:rsidR="007A44E0" w:rsidRPr="007A44E0">
        <w:rPr>
          <w:rFonts w:ascii="Arial" w:hAnsi="Arial" w:cs="Arial"/>
          <w:sz w:val="20"/>
          <w:szCs w:val="20"/>
        </w:rPr>
        <w:t>byli</w:t>
      </w:r>
      <w:r w:rsidRPr="007A44E0">
        <w:rPr>
          <w:rFonts w:ascii="Arial" w:hAnsi="Arial" w:cs="Arial"/>
          <w:sz w:val="20"/>
          <w:szCs w:val="20"/>
        </w:rPr>
        <w:t xml:space="preserve"> w szczególności:</w:t>
      </w:r>
    </w:p>
    <w:p w14:paraId="214E447E" w14:textId="6D9E6F6E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mieszkańcy obszaru rewitalizacji oraz właściciele, użytkownicy wieczyści nieruchomości i podmioty zarządzające nieruchomościami znajdującymi się na tym obszarze,</w:t>
      </w:r>
      <w:r w:rsidR="00BF54A6">
        <w:rPr>
          <w:rFonts w:ascii="Arial" w:hAnsi="Arial" w:cs="Arial"/>
          <w:sz w:val="20"/>
          <w:szCs w:val="20"/>
        </w:rPr>
        <w:br/>
      </w:r>
      <w:r w:rsidRPr="007A44E0">
        <w:rPr>
          <w:rFonts w:ascii="Arial" w:hAnsi="Arial" w:cs="Arial"/>
          <w:sz w:val="20"/>
          <w:szCs w:val="20"/>
        </w:rPr>
        <w:t xml:space="preserve"> w tym spółdzielnie mieszkaniowe, wspólnoty mieszkaniowe, społeczne inicjatywy mieszkaniowe, towarzystwa budownictwa społecznego oraz członkowie kooperatywy mieszkaniowej współdziałający w celu realizacji na obszarze rewitalizacji inwestycji mieszkaniowej w rozumieniu art. 2 ust. 1 ustawy z dnia 4 listopada 2022 r. o kooperatywach mieszkaniowych oraz zasadach zbywania nieruchomości należących do gminnego zasobu nieruchomości w celu wsparcia realizacji inwestycji mieszkaniowych (Dz. U. z 2023 r. poz. 28);</w:t>
      </w:r>
    </w:p>
    <w:p w14:paraId="52A649D9" w14:textId="77777777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mieszkańcy gminy inni niż wymienieni w pkt a),</w:t>
      </w:r>
    </w:p>
    <w:p w14:paraId="506BECE3" w14:textId="77777777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podmioty prowadzące lub zamierzające prowadzić na obszarze gminy działalność gospodarczą,</w:t>
      </w:r>
    </w:p>
    <w:p w14:paraId="576B9F3F" w14:textId="77777777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podmioty prowadzące lub zamierzające prowadzić na obszarze gminy działalność społeczną w tym organizacje pozarządowe i grupy nieformalne,</w:t>
      </w:r>
    </w:p>
    <w:p w14:paraId="56C92B79" w14:textId="1107266C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jednostki samorządu terytorialnego i ich jednostki organizacyjne, oraz organy doradcze</w:t>
      </w:r>
      <w:r w:rsidR="00BF54A6">
        <w:rPr>
          <w:rFonts w:ascii="Arial" w:hAnsi="Arial" w:cs="Arial"/>
          <w:sz w:val="20"/>
          <w:szCs w:val="20"/>
        </w:rPr>
        <w:br/>
      </w:r>
      <w:r w:rsidRPr="007A44E0">
        <w:rPr>
          <w:rFonts w:ascii="Arial" w:hAnsi="Arial" w:cs="Arial"/>
          <w:sz w:val="20"/>
          <w:szCs w:val="20"/>
        </w:rPr>
        <w:t xml:space="preserve"> i konsultacyjne gminy;</w:t>
      </w:r>
    </w:p>
    <w:p w14:paraId="7E9596E5" w14:textId="77777777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organy władzy publicznej;</w:t>
      </w:r>
    </w:p>
    <w:p w14:paraId="4BCADC81" w14:textId="77777777" w:rsidR="00EA168B" w:rsidRPr="007A44E0" w:rsidRDefault="00EA168B" w:rsidP="007A44E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podmioty, inne niż wymienione w punkcie „f)”, realizujące na obszarze rewitalizacji uprawnienia Skarbu Państwa.</w:t>
      </w:r>
    </w:p>
    <w:p w14:paraId="2AB216C9" w14:textId="171CFDF5" w:rsidR="00EA168B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Ogłoszenie w sprawie przeprowadzenia konsultacji </w:t>
      </w:r>
      <w:r w:rsidR="007A44E0" w:rsidRPr="007A44E0">
        <w:rPr>
          <w:rFonts w:ascii="Arial" w:hAnsi="Arial" w:cs="Arial"/>
          <w:sz w:val="20"/>
          <w:szCs w:val="20"/>
        </w:rPr>
        <w:t>było</w:t>
      </w:r>
      <w:r w:rsidRPr="007A44E0">
        <w:rPr>
          <w:rFonts w:ascii="Arial" w:hAnsi="Arial" w:cs="Arial"/>
          <w:sz w:val="20"/>
          <w:szCs w:val="20"/>
        </w:rPr>
        <w:t xml:space="preserve"> zamieszczone na stronie internetowej Urzędu Miejskiego w Sulejowie sulejow.pl w zakładce </w:t>
      </w:r>
      <w:r w:rsidRPr="007A44E0">
        <w:rPr>
          <w:rFonts w:ascii="Arial" w:hAnsi="Arial" w:cs="Arial"/>
          <w:i/>
          <w:iCs/>
          <w:sz w:val="20"/>
          <w:szCs w:val="20"/>
        </w:rPr>
        <w:t xml:space="preserve">Aktualności, </w:t>
      </w:r>
      <w:r w:rsidRPr="007A44E0">
        <w:rPr>
          <w:rFonts w:ascii="Arial" w:hAnsi="Arial" w:cs="Arial"/>
          <w:sz w:val="20"/>
          <w:szCs w:val="20"/>
        </w:rPr>
        <w:t xml:space="preserve">w Biuletynie Informacji Publicznej </w:t>
      </w:r>
      <w:r w:rsidRPr="00BF54A6">
        <w:rPr>
          <w:rFonts w:ascii="Arial" w:hAnsi="Arial" w:cs="Arial"/>
          <w:i/>
          <w:iCs/>
          <w:sz w:val="20"/>
          <w:szCs w:val="20"/>
        </w:rPr>
        <w:t>sulejow.biuletyn.net</w:t>
      </w:r>
      <w:r w:rsidRPr="007A44E0">
        <w:rPr>
          <w:rFonts w:ascii="Arial" w:hAnsi="Arial" w:cs="Arial"/>
          <w:sz w:val="20"/>
          <w:szCs w:val="20"/>
        </w:rPr>
        <w:t>, a także na tablicy ogłoszeń w siedzibie Urzędu Miejskiego w Sulejowie</w:t>
      </w:r>
      <w:r w:rsidR="00EA29C4">
        <w:rPr>
          <w:rFonts w:ascii="Arial" w:hAnsi="Arial" w:cs="Arial"/>
          <w:sz w:val="20"/>
          <w:szCs w:val="20"/>
        </w:rPr>
        <w:t xml:space="preserve">, poprzez </w:t>
      </w:r>
      <w:r w:rsidR="00EA29C4">
        <w:rPr>
          <w:rFonts w:ascii="Arial" w:hAnsi="Arial" w:cs="Arial"/>
          <w:sz w:val="20"/>
          <w:szCs w:val="20"/>
        </w:rPr>
        <w:lastRenderedPageBreak/>
        <w:t>wywieszenie informacji w obwodach Samorządów Mieszkańców</w:t>
      </w:r>
      <w:r w:rsidRPr="007A44E0">
        <w:rPr>
          <w:rFonts w:ascii="Arial" w:hAnsi="Arial" w:cs="Arial"/>
          <w:sz w:val="20"/>
          <w:szCs w:val="20"/>
        </w:rPr>
        <w:t xml:space="preserve"> oraz przez publikację w prasie w rozumieniu art. 7 ust. 2 pkt 1 ustawy z dnia 26 stycznia 1984 r. – Prawo prasowe (Dz. U. z 2018 r. poz. 1914).</w:t>
      </w:r>
    </w:p>
    <w:p w14:paraId="40051D23" w14:textId="69045B75" w:rsidR="00EA168B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Konsultacje prowadzon</w:t>
      </w:r>
      <w:r w:rsidR="007A44E0" w:rsidRPr="007A44E0">
        <w:rPr>
          <w:rFonts w:ascii="Arial" w:hAnsi="Arial" w:cs="Arial"/>
          <w:sz w:val="20"/>
          <w:szCs w:val="20"/>
        </w:rPr>
        <w:t xml:space="preserve">o </w:t>
      </w:r>
      <w:r w:rsidRPr="007A44E0">
        <w:rPr>
          <w:rFonts w:ascii="Arial" w:hAnsi="Arial" w:cs="Arial"/>
          <w:sz w:val="20"/>
          <w:szCs w:val="20"/>
        </w:rPr>
        <w:t>w formie:</w:t>
      </w:r>
    </w:p>
    <w:p w14:paraId="1F3B8CE0" w14:textId="77777777" w:rsidR="00EA168B" w:rsidRPr="007A44E0" w:rsidRDefault="00EA168B" w:rsidP="007A44E0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zbierania uwag, propozycji i opinii w wersji papierowej i elektronicznej z wykorzystaniem formularza konsultacyjnego udostępnionego na stronie internetowej sulejow.pl, w Biuletynie Informacji Publicznej sulejow.biuletyn.net.</w:t>
      </w:r>
    </w:p>
    <w:p w14:paraId="4A9839F4" w14:textId="77777777" w:rsidR="00EA168B" w:rsidRPr="007A44E0" w:rsidRDefault="00EA168B" w:rsidP="007A44E0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spotkania otwartego / debaty przeprowadzonej w dniu 12 grudnia 2024 r. w sali widowiskowej Miejskiego Ośrodka Kultury w Sulejowie przy ul. Rynek 1, 97-330 Sulejów o godz. 10:00,</w:t>
      </w:r>
    </w:p>
    <w:p w14:paraId="4CF4118B" w14:textId="66802310" w:rsidR="00EA168B" w:rsidRPr="007A44E0" w:rsidRDefault="00EA168B" w:rsidP="007A44E0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zbierania uwag ustnych, osobą wyznaczoną do udzielania wyjaśnień i przyjmowania opinii </w:t>
      </w:r>
      <w:r w:rsidR="007A44E0">
        <w:rPr>
          <w:rFonts w:ascii="Arial" w:hAnsi="Arial" w:cs="Arial"/>
          <w:sz w:val="20"/>
          <w:szCs w:val="20"/>
        </w:rPr>
        <w:t>była</w:t>
      </w:r>
      <w:r w:rsidRPr="007A44E0">
        <w:rPr>
          <w:rFonts w:ascii="Arial" w:hAnsi="Arial" w:cs="Arial"/>
          <w:sz w:val="20"/>
          <w:szCs w:val="20"/>
        </w:rPr>
        <w:t xml:space="preserve"> kierownik Referatu Rozwoju i Funduszy Zewnętrznych Pani Katarzyna Osuch tel</w:t>
      </w:r>
      <w:r w:rsidR="007A44E0">
        <w:rPr>
          <w:rFonts w:ascii="Arial" w:hAnsi="Arial" w:cs="Arial"/>
          <w:sz w:val="20"/>
          <w:szCs w:val="20"/>
        </w:rPr>
        <w:t>.</w:t>
      </w:r>
      <w:r w:rsidRPr="007A44E0">
        <w:rPr>
          <w:rFonts w:ascii="Arial" w:hAnsi="Arial" w:cs="Arial"/>
          <w:sz w:val="20"/>
          <w:szCs w:val="20"/>
        </w:rPr>
        <w:t>: 44 61-02-530 w godzinach pracy urzędu w terminie konsultacji.</w:t>
      </w:r>
    </w:p>
    <w:p w14:paraId="415B23C9" w14:textId="284D422A" w:rsidR="00EA168B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>Formularze konsultacyjne należ</w:t>
      </w:r>
      <w:r w:rsidR="007A44E0" w:rsidRPr="007A44E0">
        <w:rPr>
          <w:rFonts w:ascii="Arial" w:hAnsi="Arial" w:cs="Arial"/>
          <w:sz w:val="20"/>
          <w:szCs w:val="20"/>
        </w:rPr>
        <w:t xml:space="preserve">ało </w:t>
      </w:r>
      <w:r w:rsidRPr="007A44E0">
        <w:rPr>
          <w:rFonts w:ascii="Arial" w:hAnsi="Arial" w:cs="Arial"/>
          <w:sz w:val="20"/>
          <w:szCs w:val="20"/>
        </w:rPr>
        <w:t xml:space="preserve">składać w terminie określonym w § 2 pkt.1. Miejscem składania formularzy konsultacyjnych </w:t>
      </w:r>
      <w:r w:rsidR="007A44E0" w:rsidRPr="007A44E0">
        <w:rPr>
          <w:rFonts w:ascii="Arial" w:hAnsi="Arial" w:cs="Arial"/>
          <w:sz w:val="20"/>
          <w:szCs w:val="20"/>
        </w:rPr>
        <w:t>był</w:t>
      </w:r>
      <w:r w:rsidRPr="007A44E0">
        <w:rPr>
          <w:rFonts w:ascii="Arial" w:hAnsi="Arial" w:cs="Arial"/>
          <w:sz w:val="20"/>
          <w:szCs w:val="20"/>
        </w:rPr>
        <w:t xml:space="preserve"> Urząd Miejski w Sulejowie, pok</w:t>
      </w:r>
      <w:r w:rsidR="007A44E0" w:rsidRPr="007A44E0">
        <w:rPr>
          <w:rFonts w:ascii="Arial" w:hAnsi="Arial" w:cs="Arial"/>
          <w:sz w:val="20"/>
          <w:szCs w:val="20"/>
        </w:rPr>
        <w:t>.</w:t>
      </w:r>
      <w:r w:rsidRPr="007A44E0">
        <w:rPr>
          <w:rFonts w:ascii="Arial" w:hAnsi="Arial" w:cs="Arial"/>
          <w:sz w:val="20"/>
          <w:szCs w:val="20"/>
        </w:rPr>
        <w:t xml:space="preserve"> 13 wejście B lub przesłanie drogą elektroniczną na adres:</w:t>
      </w:r>
      <w:r w:rsidR="00860273">
        <w:rPr>
          <w:rFonts w:ascii="Arial" w:hAnsi="Arial" w:cs="Arial"/>
          <w:sz w:val="20"/>
          <w:szCs w:val="20"/>
        </w:rPr>
        <w:t xml:space="preserve"> </w:t>
      </w:r>
      <w:r w:rsidRPr="007A44E0">
        <w:rPr>
          <w:rFonts w:ascii="Arial" w:hAnsi="Arial" w:cs="Arial"/>
          <w:sz w:val="20"/>
          <w:szCs w:val="20"/>
        </w:rPr>
        <w:t>k.osuch@sulejow.pl lub drogą korespondencyjną na adres: Urząd Miejski w Sulejowie Konecka 42, 97-330 Sulejów z dopiskiem „Konsultacje Społeczne Gminnego Programu Rewitalizacji Gminy Sulejów”.</w:t>
      </w:r>
    </w:p>
    <w:p w14:paraId="5B2EFB2F" w14:textId="5B0C4D16" w:rsidR="00791591" w:rsidRPr="007A44E0" w:rsidRDefault="00EA168B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Osobą odpowiedzialną za przeprowadzenie konsultacji </w:t>
      </w:r>
      <w:r w:rsidR="007A44E0" w:rsidRPr="007A44E0">
        <w:rPr>
          <w:rFonts w:ascii="Arial" w:hAnsi="Arial" w:cs="Arial"/>
          <w:sz w:val="20"/>
          <w:szCs w:val="20"/>
        </w:rPr>
        <w:t>była</w:t>
      </w:r>
      <w:r w:rsidRPr="007A44E0">
        <w:rPr>
          <w:rFonts w:ascii="Arial" w:hAnsi="Arial" w:cs="Arial"/>
          <w:sz w:val="20"/>
          <w:szCs w:val="20"/>
        </w:rPr>
        <w:t xml:space="preserve"> Kierownik Referatu Rozwoju i Funduszy Zewnętrznych UM w Sulejowie. </w:t>
      </w:r>
    </w:p>
    <w:p w14:paraId="34673136" w14:textId="082A99CB" w:rsidR="00791591" w:rsidRPr="007A44E0" w:rsidRDefault="00791591" w:rsidP="007A44E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44E0">
        <w:rPr>
          <w:rFonts w:ascii="Arial" w:hAnsi="Arial" w:cs="Arial"/>
          <w:sz w:val="20"/>
          <w:szCs w:val="20"/>
        </w:rPr>
        <w:t xml:space="preserve">Załącznikiem do ogłoszenia był następujący formularz </w:t>
      </w:r>
      <w:r w:rsidR="007A44E0" w:rsidRPr="007A44E0">
        <w:rPr>
          <w:rFonts w:ascii="Arial" w:hAnsi="Arial" w:cs="Arial"/>
          <w:sz w:val="20"/>
          <w:szCs w:val="20"/>
        </w:rPr>
        <w:t xml:space="preserve">zgłaszania </w:t>
      </w:r>
      <w:r w:rsidRPr="007A44E0">
        <w:rPr>
          <w:rFonts w:ascii="Arial" w:hAnsi="Arial" w:cs="Arial"/>
          <w:sz w:val="20"/>
          <w:szCs w:val="20"/>
        </w:rPr>
        <w:t>uwag:</w:t>
      </w:r>
    </w:p>
    <w:p w14:paraId="75D7B71C" w14:textId="450A5381" w:rsidR="00791591" w:rsidRDefault="007A44E0" w:rsidP="00791591">
      <w:pPr>
        <w:jc w:val="both"/>
        <w:rPr>
          <w:rFonts w:ascii="Arial" w:hAnsi="Arial" w:cs="Arial"/>
          <w:noProof/>
          <w:sz w:val="20"/>
          <w:szCs w:val="20"/>
        </w:rPr>
      </w:pPr>
      <w:r w:rsidRPr="007A44E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8324811" wp14:editId="07751ABC">
            <wp:extent cx="5760720" cy="8264525"/>
            <wp:effectExtent l="0" t="0" r="0" b="3175"/>
            <wp:docPr id="1056283553" name="Obraz 1" descr="Obraz zawierający tekst, zrzut ekranu, Równolegle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83553" name="Obraz 1" descr="Obraz zawierający tekst, zrzut ekranu, Równolegle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78A0" w14:textId="0FF41D54" w:rsidR="007A44E0" w:rsidRDefault="007A44E0" w:rsidP="00791591">
      <w:pPr>
        <w:jc w:val="both"/>
        <w:rPr>
          <w:rFonts w:ascii="Arial" w:hAnsi="Arial" w:cs="Arial"/>
          <w:noProof/>
          <w:sz w:val="20"/>
          <w:szCs w:val="20"/>
        </w:rPr>
      </w:pPr>
      <w:r w:rsidRPr="007A44E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315C941" wp14:editId="59CF6EF8">
            <wp:extent cx="5760720" cy="4554220"/>
            <wp:effectExtent l="0" t="0" r="0" b="0"/>
            <wp:docPr id="24332827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2827" name="Obraz 1" descr="Obraz zawierający tekst, zrzut ekranu, Czcionka, numer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1FE1" w14:textId="77777777" w:rsidR="00276C0A" w:rsidRDefault="00276C0A" w:rsidP="006729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A91130" w14:textId="6340EA05" w:rsidR="002E180D" w:rsidRP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  <w:r w:rsidRPr="00572AA4">
        <w:rPr>
          <w:rFonts w:ascii="Arial" w:hAnsi="Arial" w:cs="Arial"/>
          <w:sz w:val="20"/>
          <w:szCs w:val="20"/>
        </w:rPr>
        <w:t>Nie otrzymano żadnej uwagi.</w:t>
      </w:r>
    </w:p>
    <w:p w14:paraId="787DCC16" w14:textId="77777777" w:rsidR="000608CE" w:rsidRDefault="000608CE" w:rsidP="00791591">
      <w:pPr>
        <w:jc w:val="both"/>
        <w:rPr>
          <w:rFonts w:ascii="Arial" w:hAnsi="Arial" w:cs="Arial"/>
          <w:sz w:val="20"/>
          <w:szCs w:val="20"/>
        </w:rPr>
      </w:pPr>
    </w:p>
    <w:p w14:paraId="083648AC" w14:textId="77777777" w:rsidR="000608CE" w:rsidRDefault="000608CE" w:rsidP="00791591">
      <w:pPr>
        <w:jc w:val="both"/>
        <w:rPr>
          <w:rFonts w:ascii="Arial" w:hAnsi="Arial" w:cs="Arial"/>
          <w:sz w:val="20"/>
          <w:szCs w:val="20"/>
        </w:rPr>
      </w:pPr>
    </w:p>
    <w:p w14:paraId="49AE46FE" w14:textId="77777777" w:rsidR="0067295C" w:rsidRDefault="0067295C" w:rsidP="00791591">
      <w:pPr>
        <w:jc w:val="both"/>
        <w:rPr>
          <w:rFonts w:ascii="Arial" w:hAnsi="Arial" w:cs="Arial"/>
          <w:sz w:val="20"/>
          <w:szCs w:val="20"/>
        </w:rPr>
      </w:pPr>
    </w:p>
    <w:p w14:paraId="2AC55CAD" w14:textId="77777777" w:rsidR="002E180D" w:rsidRDefault="002E180D" w:rsidP="00791591">
      <w:pPr>
        <w:jc w:val="both"/>
        <w:rPr>
          <w:rFonts w:ascii="Arial" w:hAnsi="Arial" w:cs="Arial"/>
          <w:sz w:val="20"/>
          <w:szCs w:val="20"/>
        </w:rPr>
      </w:pPr>
    </w:p>
    <w:p w14:paraId="68A81E1C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26CCD080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12719D1C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72445DE3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06EA04BD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3C919947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22848265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070878F9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34686FE4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17BFBA76" w14:textId="77777777" w:rsidR="00572AA4" w:rsidRDefault="00572AA4" w:rsidP="00791591">
      <w:pPr>
        <w:jc w:val="both"/>
        <w:rPr>
          <w:rFonts w:ascii="Arial" w:hAnsi="Arial" w:cs="Arial"/>
          <w:sz w:val="20"/>
          <w:szCs w:val="20"/>
        </w:rPr>
      </w:pPr>
    </w:p>
    <w:p w14:paraId="4276C2A2" w14:textId="51298C80" w:rsidR="0067295C" w:rsidRPr="005249E9" w:rsidRDefault="0067295C" w:rsidP="0067295C">
      <w:pPr>
        <w:jc w:val="center"/>
        <w:rPr>
          <w:rFonts w:ascii="Arial" w:hAnsi="Arial" w:cs="Arial"/>
          <w:b/>
          <w:bCs/>
        </w:rPr>
      </w:pPr>
      <w:r w:rsidRPr="005249E9">
        <w:rPr>
          <w:rFonts w:ascii="Arial" w:hAnsi="Arial" w:cs="Arial"/>
          <w:b/>
          <w:bCs/>
        </w:rPr>
        <w:lastRenderedPageBreak/>
        <w:t>Raport ze spotkania otwartego/debaty, dotyczącego projektu Gminnego Programu Rewitalizacji Gminy Sulejów</w:t>
      </w:r>
    </w:p>
    <w:p w14:paraId="3C3638CA" w14:textId="77777777" w:rsidR="005249E9" w:rsidRDefault="005249E9" w:rsidP="002E18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D3501A" w14:textId="37470FCF" w:rsidR="002E180D" w:rsidRDefault="0067295C" w:rsidP="002E18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Data i miejsce spotkania:</w:t>
      </w:r>
    </w:p>
    <w:p w14:paraId="7167F8A2" w14:textId="77777777" w:rsidR="002E180D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12 grudnia 2024 r., godz. 10:00</w:t>
      </w:r>
    </w:p>
    <w:p w14:paraId="61159CF0" w14:textId="7A318DB1" w:rsidR="0067295C" w:rsidRPr="0067295C" w:rsidRDefault="00BF54A6" w:rsidP="002E18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Aula multimedialna </w:t>
      </w:r>
      <w:r w:rsidR="0067295C" w:rsidRPr="0067295C">
        <w:rPr>
          <w:rFonts w:ascii="Arial" w:hAnsi="Arial" w:cs="Arial"/>
          <w:sz w:val="20"/>
          <w:szCs w:val="20"/>
        </w:rPr>
        <w:t>w Sulejowie, ul. Rynek 1, 97-330 Sulejów</w:t>
      </w:r>
    </w:p>
    <w:p w14:paraId="15328619" w14:textId="77777777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Prowadzący:</w:t>
      </w:r>
      <w:r w:rsidRPr="0067295C">
        <w:rPr>
          <w:rFonts w:ascii="Arial" w:hAnsi="Arial" w:cs="Arial"/>
          <w:sz w:val="20"/>
          <w:szCs w:val="20"/>
        </w:rPr>
        <w:br/>
        <w:t>Przemysław Bajor</w:t>
      </w:r>
    </w:p>
    <w:p w14:paraId="4E4F1791" w14:textId="77777777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Uczestnicy:</w:t>
      </w:r>
      <w:r w:rsidRPr="0067295C">
        <w:rPr>
          <w:rFonts w:ascii="Arial" w:hAnsi="Arial" w:cs="Arial"/>
          <w:sz w:val="20"/>
          <w:szCs w:val="20"/>
        </w:rPr>
        <w:br/>
        <w:t>Spotkanie otwarte zgromadziło mieszkańców Gminy Sulejów, którzy aktywnie uczestniczyli w debacie. Wśród obecnych znaleźli się zarówno przedstawiciele osób starszych, młodzieży, jak i osoby związane z sektorem kultury.</w:t>
      </w:r>
    </w:p>
    <w:p w14:paraId="4B47EF24" w14:textId="77777777" w:rsidR="0067295C" w:rsidRPr="0067295C" w:rsidRDefault="00000000" w:rsidP="002E18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A00B457">
          <v:rect id="_x0000_i1025" style="width:0;height:1.5pt" o:hralign="center" o:hrstd="t" o:hr="t" fillcolor="#a0a0a0" stroked="f"/>
        </w:pict>
      </w:r>
    </w:p>
    <w:p w14:paraId="21AE0D46" w14:textId="77777777" w:rsidR="0067295C" w:rsidRPr="0067295C" w:rsidRDefault="0067295C" w:rsidP="002E18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Przebieg spotkania:</w:t>
      </w:r>
    </w:p>
    <w:p w14:paraId="2D3FFE10" w14:textId="3726D605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Spotkanie otworzył Przemysław Bajor, który powitał zebranych i przedstawił główne założenia projektu Gminnego Programu Rewitalizacji Gminy Sulejów. Prowadzący podkreślił, że konsultacje są istotnym elementem procesu tworzenia dokumentu, a ich celem jest uwzględnienie opinii mieszkańców</w:t>
      </w:r>
      <w:r w:rsidR="00BF54A6">
        <w:rPr>
          <w:rFonts w:ascii="Arial" w:hAnsi="Arial" w:cs="Arial"/>
          <w:sz w:val="20"/>
          <w:szCs w:val="20"/>
        </w:rPr>
        <w:br/>
      </w:r>
      <w:r w:rsidRPr="0067295C">
        <w:rPr>
          <w:rFonts w:ascii="Arial" w:hAnsi="Arial" w:cs="Arial"/>
          <w:sz w:val="20"/>
          <w:szCs w:val="20"/>
        </w:rPr>
        <w:t xml:space="preserve"> w finalnym kształcie programu. Po wprowadzeniu do tematu, rozpoczęto otwartą debatę, w trakcie której mieszkańcy mogli zadawać pytania i przedstawiać swoje uwagi.</w:t>
      </w:r>
    </w:p>
    <w:p w14:paraId="0B02782B" w14:textId="77777777" w:rsidR="0067295C" w:rsidRPr="0067295C" w:rsidRDefault="00000000" w:rsidP="002E18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8134233">
          <v:rect id="_x0000_i1026" style="width:0;height:1.5pt" o:hralign="center" o:hrstd="t" o:hr="t" fillcolor="#a0a0a0" stroked="f"/>
        </w:pict>
      </w:r>
    </w:p>
    <w:p w14:paraId="78C8C09E" w14:textId="77777777" w:rsidR="0067295C" w:rsidRPr="0067295C" w:rsidRDefault="0067295C" w:rsidP="002E18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Kluczowe pytania i uwagi mieszkańców:</w:t>
      </w:r>
    </w:p>
    <w:p w14:paraId="138EC677" w14:textId="77777777" w:rsidR="002E180D" w:rsidRDefault="0067295C" w:rsidP="002E180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Rola osób starszych w planowanej infrastrukturze</w:t>
      </w:r>
    </w:p>
    <w:p w14:paraId="489253AD" w14:textId="5D8A9D43" w:rsidR="0067295C" w:rsidRPr="002E180D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2E180D">
        <w:rPr>
          <w:rFonts w:ascii="Arial" w:hAnsi="Arial" w:cs="Arial"/>
          <w:sz w:val="20"/>
          <w:szCs w:val="20"/>
        </w:rPr>
        <w:t>Uczestnicy zwrócili szczególną uwagę na potrzebę uwzględnienia potrzeb seniorów w</w:t>
      </w:r>
      <w:r w:rsidR="002E180D">
        <w:rPr>
          <w:rFonts w:ascii="Arial" w:hAnsi="Arial" w:cs="Arial"/>
          <w:sz w:val="20"/>
          <w:szCs w:val="20"/>
        </w:rPr>
        <w:t> </w:t>
      </w:r>
      <w:r w:rsidRPr="002E180D">
        <w:rPr>
          <w:rFonts w:ascii="Arial" w:hAnsi="Arial" w:cs="Arial"/>
          <w:sz w:val="20"/>
          <w:szCs w:val="20"/>
        </w:rPr>
        <w:t>projektowanych działaniach rewitalizacyjnych. Wskazywano na konieczność:</w:t>
      </w:r>
    </w:p>
    <w:p w14:paraId="30A0EB71" w14:textId="0DCD9732" w:rsidR="0067295C" w:rsidRPr="0067295C" w:rsidRDefault="0067295C" w:rsidP="002E180D">
      <w:pPr>
        <w:numPr>
          <w:ilvl w:val="1"/>
          <w:numId w:val="10"/>
        </w:numPr>
        <w:tabs>
          <w:tab w:val="clear" w:pos="1440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Tworzenia miejsc integracji międzypokoleniowej</w:t>
      </w:r>
      <w:r w:rsidR="003A2179">
        <w:rPr>
          <w:rFonts w:ascii="Arial" w:hAnsi="Arial" w:cs="Arial"/>
          <w:sz w:val="20"/>
          <w:szCs w:val="20"/>
        </w:rPr>
        <w:t>.</w:t>
      </w:r>
    </w:p>
    <w:p w14:paraId="28750E7E" w14:textId="4E6B9DD2" w:rsidR="0067295C" w:rsidRPr="0067295C" w:rsidRDefault="0067295C" w:rsidP="002E180D">
      <w:pPr>
        <w:numPr>
          <w:ilvl w:val="1"/>
          <w:numId w:val="10"/>
        </w:numPr>
        <w:tabs>
          <w:tab w:val="clear" w:pos="1440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Uwzględnienia infrastruktury sprzyjającej aktywnemu trybowi życia, m.in. ścieżek spacerowych</w:t>
      </w:r>
      <w:r w:rsidR="003A2179">
        <w:rPr>
          <w:rFonts w:ascii="Arial" w:hAnsi="Arial" w:cs="Arial"/>
          <w:sz w:val="20"/>
          <w:szCs w:val="20"/>
        </w:rPr>
        <w:t xml:space="preserve"> </w:t>
      </w:r>
      <w:r w:rsidRPr="0067295C">
        <w:rPr>
          <w:rFonts w:ascii="Arial" w:hAnsi="Arial" w:cs="Arial"/>
          <w:sz w:val="20"/>
          <w:szCs w:val="20"/>
        </w:rPr>
        <w:t>oraz przestrzeni zielonych.</w:t>
      </w:r>
    </w:p>
    <w:p w14:paraId="2DB9B358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Rozwiązania kwestii dostępności obiektów publicznych dla osób z ograniczoną mobilnością poprzez instalację wind, ramp i innych udogodnień.</w:t>
      </w:r>
    </w:p>
    <w:p w14:paraId="46E8FB8F" w14:textId="77777777" w:rsidR="002E180D" w:rsidRPr="002E180D" w:rsidRDefault="0067295C" w:rsidP="002E180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Wykorzystanie i odnowienie walorów turystycznych, w tym Szlaku Romańskiego</w:t>
      </w:r>
    </w:p>
    <w:p w14:paraId="4821F9F4" w14:textId="73076DCB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Mieszkańcy zwrócili uwagę na niewystarczające wykorzystanie potencjału turystycznego gminy, szczególnie zabytków związanych ze Szlakiem Romańskim. Zaproponowano:</w:t>
      </w:r>
    </w:p>
    <w:p w14:paraId="5A7EEE50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  <w:tab w:val="num" w:pos="113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Renowację i odpowiednią ekspozycję historycznych obiektów, w tym Opactwa Cystersów, które mogłyby stać się kluczowymi atrakcjami przyciągającymi turystów.</w:t>
      </w:r>
    </w:p>
    <w:p w14:paraId="528969C0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  <w:tab w:val="num" w:pos="113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Rozwój infrastruktury wspierającej turystykę, m.in. budowę ścieżek rowerowych, punktów informacji turystycznej oraz obiektów gastronomicznych i noclegowych.</w:t>
      </w:r>
    </w:p>
    <w:p w14:paraId="7CAAB9CC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  <w:tab w:val="num" w:pos="113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Organizację wydarzeń kulturalnych i historycznych promujących dziedzictwo regionu.</w:t>
      </w:r>
    </w:p>
    <w:p w14:paraId="7F7C52A2" w14:textId="77777777" w:rsidR="002E180D" w:rsidRPr="002E180D" w:rsidRDefault="0067295C" w:rsidP="002E180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Wsparcie młodzieży</w:t>
      </w:r>
    </w:p>
    <w:p w14:paraId="3CA6B927" w14:textId="5F7AFFD2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Uczestnicy podkreślili potrzebę stworzenia przestrzeni dedykowanych młodym mieszkańcom. Wskazano na:</w:t>
      </w:r>
    </w:p>
    <w:p w14:paraId="6319D253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lastRenderedPageBreak/>
        <w:t>Wdrożenie programów wsparcia edukacyjnego, np. poprzez organizację dodatkowych zajęć rozwijających zainteresowania.</w:t>
      </w:r>
    </w:p>
    <w:p w14:paraId="70A6AD17" w14:textId="77777777" w:rsidR="0067295C" w:rsidRPr="0067295C" w:rsidRDefault="0067295C" w:rsidP="002E180D">
      <w:pPr>
        <w:numPr>
          <w:ilvl w:val="1"/>
          <w:numId w:val="10"/>
        </w:numPr>
        <w:tabs>
          <w:tab w:val="clear" w:pos="1440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Zapewnienie młodzieży dostępu do nowoczesnej infrastruktury sportowej, w tym boisk i siłowni zewnętrznych.</w:t>
      </w:r>
    </w:p>
    <w:p w14:paraId="454B3D9F" w14:textId="77777777" w:rsidR="0067295C" w:rsidRPr="0067295C" w:rsidRDefault="00000000" w:rsidP="002E18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5DF7B24">
          <v:rect id="_x0000_i1027" style="width:0;height:1.5pt" o:hralign="center" o:hrstd="t" o:hr="t" fillcolor="#a0a0a0" stroked="f"/>
        </w:pict>
      </w:r>
    </w:p>
    <w:p w14:paraId="7287D6BF" w14:textId="77777777" w:rsidR="0067295C" w:rsidRPr="0067295C" w:rsidRDefault="0067295C" w:rsidP="002E18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295C">
        <w:rPr>
          <w:rFonts w:ascii="Arial" w:hAnsi="Arial" w:cs="Arial"/>
          <w:b/>
          <w:bCs/>
          <w:sz w:val="20"/>
          <w:szCs w:val="20"/>
        </w:rPr>
        <w:t>Dalsze kroki:</w:t>
      </w:r>
    </w:p>
    <w:p w14:paraId="6046635B" w14:textId="26C8772F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Przemysław Bajor podsumował spotkanie, dziękując uczestnikom za zaangażowanie i cenne uwagi. Zapewnił, że zgłoszone propozycje zostaną przeanalizowane i uwzględnione w miarę możliwości w</w:t>
      </w:r>
      <w:r w:rsidR="002E180D">
        <w:rPr>
          <w:rFonts w:ascii="Arial" w:hAnsi="Arial" w:cs="Arial"/>
          <w:sz w:val="20"/>
          <w:szCs w:val="20"/>
        </w:rPr>
        <w:t> </w:t>
      </w:r>
      <w:r w:rsidRPr="0067295C">
        <w:rPr>
          <w:rFonts w:ascii="Arial" w:hAnsi="Arial" w:cs="Arial"/>
          <w:sz w:val="20"/>
          <w:szCs w:val="20"/>
        </w:rPr>
        <w:t>finalnym kształcie Gminnego Programu Rewitalizacji. Kolejnym etapem będzie zebranie i</w:t>
      </w:r>
      <w:r w:rsidR="002E180D">
        <w:rPr>
          <w:rFonts w:ascii="Arial" w:hAnsi="Arial" w:cs="Arial"/>
          <w:sz w:val="20"/>
          <w:szCs w:val="20"/>
        </w:rPr>
        <w:t> </w:t>
      </w:r>
      <w:r w:rsidRPr="0067295C">
        <w:rPr>
          <w:rFonts w:ascii="Arial" w:hAnsi="Arial" w:cs="Arial"/>
          <w:sz w:val="20"/>
          <w:szCs w:val="20"/>
        </w:rPr>
        <w:t>opracowanie wszystkich zgłoszonych opinii oraz przedstawienie wyników konsultacji w formie raportu</w:t>
      </w:r>
      <w:r w:rsidR="002E180D">
        <w:rPr>
          <w:rFonts w:ascii="Arial" w:hAnsi="Arial" w:cs="Arial"/>
          <w:sz w:val="20"/>
          <w:szCs w:val="20"/>
        </w:rPr>
        <w:t>.</w:t>
      </w:r>
    </w:p>
    <w:p w14:paraId="075E9193" w14:textId="56B68E8E" w:rsidR="0067295C" w:rsidRPr="0067295C" w:rsidRDefault="0067295C" w:rsidP="002E180D">
      <w:pPr>
        <w:jc w:val="both"/>
        <w:rPr>
          <w:rFonts w:ascii="Arial" w:hAnsi="Arial" w:cs="Arial"/>
          <w:sz w:val="20"/>
          <w:szCs w:val="20"/>
        </w:rPr>
      </w:pPr>
      <w:r w:rsidRPr="0067295C">
        <w:rPr>
          <w:rFonts w:ascii="Arial" w:hAnsi="Arial" w:cs="Arial"/>
          <w:sz w:val="20"/>
          <w:szCs w:val="20"/>
        </w:rPr>
        <w:t>Spotkanie zakończyło się podziękowaniami i zaproszeniem do dalszego aktywnego uczestnictwa w</w:t>
      </w:r>
      <w:r w:rsidR="002E180D">
        <w:rPr>
          <w:rFonts w:ascii="Arial" w:hAnsi="Arial" w:cs="Arial"/>
          <w:sz w:val="20"/>
          <w:szCs w:val="20"/>
        </w:rPr>
        <w:t> </w:t>
      </w:r>
      <w:r w:rsidRPr="0067295C">
        <w:rPr>
          <w:rFonts w:ascii="Arial" w:hAnsi="Arial" w:cs="Arial"/>
          <w:sz w:val="20"/>
          <w:szCs w:val="20"/>
        </w:rPr>
        <w:t>procesie rewitalizacji gminy.</w:t>
      </w:r>
    </w:p>
    <w:p w14:paraId="52035D03" w14:textId="77777777" w:rsidR="0067295C" w:rsidRPr="0067295C" w:rsidRDefault="00000000" w:rsidP="002E18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983DB09">
          <v:rect id="_x0000_i1028" style="width:0;height:1.5pt" o:hralign="center" o:hrstd="t" o:hr="t" fillcolor="#a0a0a0" stroked="f"/>
        </w:pict>
      </w:r>
    </w:p>
    <w:p w14:paraId="2285A620" w14:textId="445DAA63" w:rsidR="00F506DC" w:rsidRPr="00F506DC" w:rsidRDefault="00F506DC" w:rsidP="00F506DC">
      <w:pPr>
        <w:tabs>
          <w:tab w:val="left" w:pos="1356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06DC">
        <w:rPr>
          <w:rFonts w:ascii="Arial" w:hAnsi="Arial" w:cs="Arial"/>
          <w:b/>
          <w:bCs/>
          <w:sz w:val="20"/>
          <w:szCs w:val="20"/>
        </w:rPr>
        <w:t>Podsumowanie:</w:t>
      </w:r>
    </w:p>
    <w:p w14:paraId="459C0061" w14:textId="547E17E7" w:rsidR="00791591" w:rsidRPr="00F506DC" w:rsidRDefault="005249E9" w:rsidP="005249E9">
      <w:pPr>
        <w:tabs>
          <w:tab w:val="left" w:pos="709"/>
          <w:tab w:val="left" w:pos="135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3A95" w:rsidRPr="00F506DC">
        <w:rPr>
          <w:rFonts w:ascii="Arial" w:hAnsi="Arial" w:cs="Arial"/>
          <w:sz w:val="20"/>
          <w:szCs w:val="20"/>
        </w:rPr>
        <w:t>Wszystkie przedsięwzięcia rewitalizacyjne opisane w projekcie Gminnego Programu Rewitalizacji Gminy Sulejów zakładają wdrożenie działań zapewniających dostępność osobom ze szczególnymi potrzebami.</w:t>
      </w:r>
    </w:p>
    <w:p w14:paraId="0CC772BE" w14:textId="1648C537" w:rsidR="00791591" w:rsidRPr="00F506DC" w:rsidRDefault="003A2179" w:rsidP="00F506DC">
      <w:pPr>
        <w:tabs>
          <w:tab w:val="left" w:pos="1356"/>
        </w:tabs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6DC">
        <w:rPr>
          <w:rFonts w:ascii="Arial" w:hAnsi="Arial" w:cs="Arial"/>
          <w:sz w:val="20"/>
          <w:szCs w:val="20"/>
        </w:rPr>
        <w:t>W projekcie GPR z</w:t>
      </w:r>
      <w:r w:rsidR="007F3A95" w:rsidRPr="00F506DC">
        <w:rPr>
          <w:rFonts w:ascii="Arial" w:hAnsi="Arial" w:cs="Arial"/>
          <w:sz w:val="20"/>
          <w:szCs w:val="20"/>
        </w:rPr>
        <w:t xml:space="preserve">adbano o rozwój infrastruktury sportowej, </w:t>
      </w:r>
      <w:r w:rsidR="007F3A95" w:rsidRPr="00F506DC">
        <w:rPr>
          <w:rFonts w:ascii="Arial" w:hAnsi="Arial" w:cs="Arial"/>
          <w:bCs/>
          <w:sz w:val="20"/>
          <w:szCs w:val="20"/>
        </w:rPr>
        <w:t>stworzenie przestrzeni, która będzie sprzyjać organizacji wydarzeń sportowych, kulturalnych i rekreacyjnych, umożliwiając mieszkańcom aktywny udział w życiu społecznym miasta.</w:t>
      </w:r>
      <w:r w:rsidRPr="00F506DC">
        <w:rPr>
          <w:rFonts w:ascii="Arial" w:hAnsi="Arial" w:cs="Arial"/>
          <w:bCs/>
          <w:sz w:val="20"/>
          <w:szCs w:val="20"/>
        </w:rPr>
        <w:t xml:space="preserve"> Pomyślano również o stworzeniu nowoczesnej, funkcjonalnej przestrzeni, która będzie sprzyjać integracji mieszkańców oraz wspierać rozwój działań społecznych, edukacyjnych i kulturalnych. Możliwa b</w:t>
      </w:r>
      <w:r w:rsidR="00F506DC" w:rsidRPr="00F506DC">
        <w:rPr>
          <w:rFonts w:ascii="Arial" w:hAnsi="Arial" w:cs="Arial"/>
          <w:bCs/>
          <w:sz w:val="20"/>
          <w:szCs w:val="20"/>
        </w:rPr>
        <w:t>ę</w:t>
      </w:r>
      <w:r w:rsidRPr="00F506DC">
        <w:rPr>
          <w:rFonts w:ascii="Arial" w:hAnsi="Arial" w:cs="Arial"/>
          <w:bCs/>
          <w:sz w:val="20"/>
          <w:szCs w:val="20"/>
        </w:rPr>
        <w:t>dzie organizacja spotkań, szkoleń oraz różnorodnych wydarzeń lokalnych, co wzmocni więzi wśród mieszkańców i stworzy przestrzeń</w:t>
      </w:r>
      <w:r w:rsidR="00BF54A6">
        <w:rPr>
          <w:rFonts w:ascii="Arial" w:hAnsi="Arial" w:cs="Arial"/>
          <w:bCs/>
          <w:sz w:val="20"/>
          <w:szCs w:val="20"/>
        </w:rPr>
        <w:br/>
      </w:r>
      <w:r w:rsidRPr="00F506DC">
        <w:rPr>
          <w:rFonts w:ascii="Arial" w:hAnsi="Arial" w:cs="Arial"/>
          <w:bCs/>
          <w:sz w:val="20"/>
          <w:szCs w:val="20"/>
        </w:rPr>
        <w:t xml:space="preserve"> do aktywizacji społecznej. </w:t>
      </w:r>
      <w:r w:rsidR="00F506DC" w:rsidRPr="00F506DC">
        <w:rPr>
          <w:rFonts w:ascii="Arial" w:hAnsi="Arial" w:cs="Arial"/>
          <w:bCs/>
          <w:sz w:val="20"/>
          <w:szCs w:val="20"/>
        </w:rPr>
        <w:t>P</w:t>
      </w:r>
      <w:r w:rsidRPr="00F506DC">
        <w:rPr>
          <w:rFonts w:ascii="Arial" w:hAnsi="Arial" w:cs="Arial"/>
          <w:bCs/>
          <w:sz w:val="20"/>
          <w:szCs w:val="20"/>
        </w:rPr>
        <w:t>rzewidziane jest organizowanie spotkań, szkoleń, warsztatów oraz wydarzeń społeczno-kulturalnych, które będą sprzyjać budowaniu więzi międzyludzkich</w:t>
      </w:r>
      <w:r w:rsidR="00BF54A6">
        <w:rPr>
          <w:rFonts w:ascii="Arial" w:hAnsi="Arial" w:cs="Arial"/>
          <w:bCs/>
          <w:sz w:val="20"/>
          <w:szCs w:val="20"/>
        </w:rPr>
        <w:br/>
      </w:r>
      <w:r w:rsidRPr="00F506DC">
        <w:rPr>
          <w:rFonts w:ascii="Arial" w:hAnsi="Arial" w:cs="Arial"/>
          <w:bCs/>
          <w:sz w:val="20"/>
          <w:szCs w:val="20"/>
        </w:rPr>
        <w:t xml:space="preserve"> i przeciwdziałaniu wykluczeniu społecznemu</w:t>
      </w:r>
      <w:r w:rsidR="00F506DC" w:rsidRPr="00F506DC">
        <w:rPr>
          <w:rFonts w:ascii="Arial" w:hAnsi="Arial" w:cs="Arial"/>
          <w:bCs/>
          <w:sz w:val="20"/>
          <w:szCs w:val="20"/>
        </w:rPr>
        <w:t>.</w:t>
      </w:r>
    </w:p>
    <w:p w14:paraId="7FCC610C" w14:textId="50D97C2A" w:rsidR="003A2179" w:rsidRPr="00F506DC" w:rsidRDefault="00F506DC" w:rsidP="00F506DC">
      <w:pPr>
        <w:tabs>
          <w:tab w:val="left" w:pos="1356"/>
        </w:tabs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6DC">
        <w:rPr>
          <w:rFonts w:ascii="Arial" w:hAnsi="Arial" w:cs="Arial"/>
          <w:bCs/>
          <w:sz w:val="20"/>
          <w:szCs w:val="20"/>
        </w:rPr>
        <w:t xml:space="preserve">Zaplanowane przedsięwzięcia rewitalizacyjne mają również na celu </w:t>
      </w:r>
      <w:r w:rsidR="003A2179" w:rsidRPr="00F506DC">
        <w:rPr>
          <w:rFonts w:ascii="Arial" w:hAnsi="Arial" w:cs="Arial"/>
          <w:bCs/>
          <w:sz w:val="20"/>
          <w:szCs w:val="20"/>
        </w:rPr>
        <w:t>zachowanie i ochron</w:t>
      </w:r>
      <w:r w:rsidRPr="00F506DC">
        <w:rPr>
          <w:rFonts w:ascii="Arial" w:hAnsi="Arial" w:cs="Arial"/>
          <w:bCs/>
          <w:sz w:val="20"/>
          <w:szCs w:val="20"/>
        </w:rPr>
        <w:t>ę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 dziedzictwa kulturowego </w:t>
      </w:r>
      <w:r w:rsidRPr="00F506DC">
        <w:rPr>
          <w:rFonts w:ascii="Arial" w:hAnsi="Arial" w:cs="Arial"/>
          <w:bCs/>
          <w:sz w:val="20"/>
          <w:szCs w:val="20"/>
        </w:rPr>
        <w:t>gminy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, co przyczyni się do ożywienia społeczno-gospodarczego regionu. </w:t>
      </w:r>
      <w:r w:rsidRPr="00F506DC">
        <w:rPr>
          <w:rFonts w:ascii="Arial" w:hAnsi="Arial" w:cs="Arial"/>
          <w:bCs/>
          <w:sz w:val="20"/>
          <w:szCs w:val="20"/>
        </w:rPr>
        <w:t>Z</w:t>
      </w:r>
      <w:r w:rsidR="003A2179" w:rsidRPr="00F506DC">
        <w:rPr>
          <w:rFonts w:ascii="Arial" w:hAnsi="Arial" w:cs="Arial"/>
          <w:bCs/>
          <w:sz w:val="20"/>
          <w:szCs w:val="20"/>
        </w:rPr>
        <w:t>akłada</w:t>
      </w:r>
      <w:r w:rsidRPr="00F506DC">
        <w:rPr>
          <w:rFonts w:ascii="Arial" w:hAnsi="Arial" w:cs="Arial"/>
          <w:bCs/>
          <w:sz w:val="20"/>
          <w:szCs w:val="20"/>
        </w:rPr>
        <w:t xml:space="preserve"> się </w:t>
      </w:r>
      <w:r w:rsidR="003A2179" w:rsidRPr="00F506DC">
        <w:rPr>
          <w:rFonts w:ascii="Arial" w:hAnsi="Arial" w:cs="Arial"/>
          <w:bCs/>
          <w:sz w:val="20"/>
          <w:szCs w:val="20"/>
        </w:rPr>
        <w:t>prowadzenie prac</w:t>
      </w:r>
      <w:r w:rsidRPr="00F506DC">
        <w:rPr>
          <w:rFonts w:ascii="Arial" w:hAnsi="Arial" w:cs="Arial"/>
          <w:bCs/>
          <w:sz w:val="20"/>
          <w:szCs w:val="20"/>
        </w:rPr>
        <w:t xml:space="preserve"> m.in.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 konserwatorskich, restauratorskich</w:t>
      </w:r>
      <w:r w:rsidRPr="00F506DC">
        <w:rPr>
          <w:rFonts w:ascii="Arial" w:hAnsi="Arial" w:cs="Arial"/>
          <w:bCs/>
          <w:sz w:val="20"/>
          <w:szCs w:val="20"/>
        </w:rPr>
        <w:t xml:space="preserve">. Powstaną nowe </w:t>
      </w:r>
      <w:r w:rsidR="003A2179" w:rsidRPr="00F506DC">
        <w:rPr>
          <w:rFonts w:ascii="Arial" w:hAnsi="Arial" w:cs="Arial"/>
          <w:bCs/>
          <w:sz w:val="20"/>
          <w:szCs w:val="20"/>
        </w:rPr>
        <w:t>możliwości turystyczne</w:t>
      </w:r>
      <w:r w:rsidRPr="00F506DC">
        <w:rPr>
          <w:rFonts w:ascii="Arial" w:hAnsi="Arial" w:cs="Arial"/>
          <w:bCs/>
          <w:sz w:val="20"/>
          <w:szCs w:val="20"/>
        </w:rPr>
        <w:t>, a</w:t>
      </w:r>
      <w:r>
        <w:rPr>
          <w:rFonts w:ascii="Arial" w:hAnsi="Arial" w:cs="Arial"/>
          <w:bCs/>
          <w:sz w:val="20"/>
          <w:szCs w:val="20"/>
        </w:rPr>
        <w:t> </w:t>
      </w:r>
      <w:r w:rsidRPr="00F506DC">
        <w:rPr>
          <w:rFonts w:ascii="Arial" w:hAnsi="Arial" w:cs="Arial"/>
          <w:bCs/>
          <w:sz w:val="20"/>
          <w:szCs w:val="20"/>
        </w:rPr>
        <w:t>obiekty zostaną zabezpieczone przed dalsza degradacją.</w:t>
      </w:r>
    </w:p>
    <w:p w14:paraId="2F5E2C30" w14:textId="53A21135" w:rsidR="003A2179" w:rsidRPr="00F506DC" w:rsidRDefault="00F506DC" w:rsidP="00F506DC">
      <w:pPr>
        <w:tabs>
          <w:tab w:val="left" w:pos="709"/>
        </w:tabs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6DC">
        <w:rPr>
          <w:rFonts w:ascii="Arial" w:hAnsi="Arial" w:cs="Arial"/>
          <w:bCs/>
          <w:sz w:val="20"/>
          <w:szCs w:val="20"/>
        </w:rPr>
        <w:t>Planowana jest m.in.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 rewitalizacja terenów zielonych, utworzenie ciągów pieszych</w:t>
      </w:r>
      <w:r w:rsidRPr="00F506DC">
        <w:rPr>
          <w:rFonts w:ascii="Arial" w:hAnsi="Arial" w:cs="Arial"/>
          <w:bCs/>
          <w:sz w:val="20"/>
          <w:szCs w:val="20"/>
        </w:rPr>
        <w:t xml:space="preserve">, </w:t>
      </w:r>
      <w:r w:rsidR="003A2179" w:rsidRPr="00F506DC">
        <w:rPr>
          <w:rFonts w:ascii="Arial" w:hAnsi="Arial" w:cs="Arial"/>
          <w:bCs/>
          <w:sz w:val="20"/>
          <w:szCs w:val="20"/>
        </w:rPr>
        <w:t>co stworzy przyjazną przestrzeń do rekreacji</w:t>
      </w:r>
      <w:r w:rsidRPr="00F506DC">
        <w:rPr>
          <w:rFonts w:ascii="Arial" w:hAnsi="Arial" w:cs="Arial"/>
          <w:bCs/>
          <w:sz w:val="20"/>
          <w:szCs w:val="20"/>
        </w:rPr>
        <w:t>.</w:t>
      </w:r>
    </w:p>
    <w:p w14:paraId="1127543E" w14:textId="1A9DA8A4" w:rsidR="003A2179" w:rsidRPr="005A3674" w:rsidRDefault="00F506DC" w:rsidP="005249E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506DC">
        <w:rPr>
          <w:rFonts w:ascii="Arial" w:hAnsi="Arial" w:cs="Arial"/>
          <w:bCs/>
          <w:sz w:val="20"/>
          <w:szCs w:val="20"/>
        </w:rPr>
        <w:t>Zaplanowano również prowadzenie z</w:t>
      </w:r>
      <w:r w:rsidR="003A2179" w:rsidRPr="00F506DC">
        <w:rPr>
          <w:rFonts w:ascii="Arial" w:hAnsi="Arial" w:cs="Arial"/>
          <w:sz w:val="20"/>
          <w:szCs w:val="20"/>
        </w:rPr>
        <w:t>aję</w:t>
      </w:r>
      <w:r w:rsidRPr="00F506DC">
        <w:rPr>
          <w:rFonts w:ascii="Arial" w:hAnsi="Arial" w:cs="Arial"/>
          <w:sz w:val="20"/>
          <w:szCs w:val="20"/>
        </w:rPr>
        <w:t>ć</w:t>
      </w:r>
      <w:r w:rsidR="003A2179" w:rsidRPr="00F506DC">
        <w:rPr>
          <w:rFonts w:ascii="Arial" w:hAnsi="Arial" w:cs="Arial"/>
          <w:sz w:val="20"/>
          <w:szCs w:val="20"/>
        </w:rPr>
        <w:t xml:space="preserve"> integracyjno-ogólnorozwojow</w:t>
      </w:r>
      <w:r w:rsidRPr="00F506DC">
        <w:rPr>
          <w:rFonts w:ascii="Arial" w:hAnsi="Arial" w:cs="Arial"/>
          <w:sz w:val="20"/>
          <w:szCs w:val="20"/>
        </w:rPr>
        <w:t>ych</w:t>
      </w:r>
      <w:r w:rsidR="003A2179" w:rsidRPr="00F506DC">
        <w:rPr>
          <w:rFonts w:ascii="Arial" w:hAnsi="Arial" w:cs="Arial"/>
          <w:sz w:val="20"/>
          <w:szCs w:val="20"/>
        </w:rPr>
        <w:t xml:space="preserve"> dla dzieci i młodzieży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 Celem jest wsparcie integracji społecznej oraz ogólnorozwojowego rozwoju dzieci i młodzieży poprzez organizację różnorodnych zajęć edukacyjnych, kulturalnych, sportowych i terapeutycznych.</w:t>
      </w:r>
      <w:r>
        <w:rPr>
          <w:rFonts w:ascii="Arial" w:hAnsi="Arial" w:cs="Arial"/>
          <w:bCs/>
          <w:sz w:val="20"/>
          <w:szCs w:val="20"/>
        </w:rPr>
        <w:t xml:space="preserve"> C</w:t>
      </w:r>
      <w:r w:rsidR="003A2179" w:rsidRPr="00F506DC">
        <w:rPr>
          <w:rFonts w:ascii="Arial" w:hAnsi="Arial" w:cs="Arial"/>
          <w:bCs/>
          <w:sz w:val="20"/>
          <w:szCs w:val="20"/>
        </w:rPr>
        <w:t>el</w:t>
      </w:r>
      <w:r>
        <w:rPr>
          <w:rFonts w:ascii="Arial" w:hAnsi="Arial" w:cs="Arial"/>
          <w:bCs/>
          <w:sz w:val="20"/>
          <w:szCs w:val="20"/>
        </w:rPr>
        <w:t>em jest</w:t>
      </w:r>
      <w:r w:rsidR="003A2179" w:rsidRPr="00F506DC">
        <w:rPr>
          <w:rFonts w:ascii="Arial" w:hAnsi="Arial" w:cs="Arial"/>
          <w:bCs/>
          <w:sz w:val="20"/>
          <w:szCs w:val="20"/>
        </w:rPr>
        <w:t xml:space="preserve"> także budowanie więzi sąsiedzkich, rozwijanie kompetencji społecznych i kreatywności, a w dłuższej </w:t>
      </w:r>
      <w:r w:rsidR="003A2179" w:rsidRPr="005A3674">
        <w:rPr>
          <w:rFonts w:ascii="Arial" w:hAnsi="Arial" w:cs="Arial"/>
          <w:bCs/>
          <w:sz w:val="20"/>
          <w:szCs w:val="20"/>
        </w:rPr>
        <w:t>perspektywie przeciwdziałanie wykluczeniu społecznemu i marginalizacji młodych mieszkańców.</w:t>
      </w:r>
    </w:p>
    <w:p w14:paraId="16DFD0CE" w14:textId="503B7C5A" w:rsidR="008F6BD7" w:rsidRPr="005A3674" w:rsidRDefault="005249E9" w:rsidP="005249E9">
      <w:pPr>
        <w:tabs>
          <w:tab w:val="left" w:pos="709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506DC" w:rsidRPr="005A3674">
        <w:rPr>
          <w:rFonts w:ascii="Arial" w:hAnsi="Arial" w:cs="Arial"/>
          <w:sz w:val="20"/>
          <w:szCs w:val="20"/>
        </w:rPr>
        <w:t xml:space="preserve">Gmina Sulejów dziękuje za aktywny udział w konsultacjach i wyraża nadzieję, że zaplanowane przedsięwzięcia rewitalizacyjne spełnią oczekiwania i potrzeby </w:t>
      </w:r>
      <w:r w:rsidR="005A3674" w:rsidRPr="005A3674">
        <w:rPr>
          <w:rFonts w:ascii="Arial" w:hAnsi="Arial" w:cs="Arial"/>
          <w:sz w:val="20"/>
          <w:szCs w:val="20"/>
        </w:rPr>
        <w:t>mieszkańców.</w:t>
      </w:r>
    </w:p>
    <w:p w14:paraId="24FC56C5" w14:textId="77777777" w:rsidR="00F506DC" w:rsidRDefault="00F506DC" w:rsidP="005249E9">
      <w:pPr>
        <w:spacing w:before="120" w:after="120" w:line="276" w:lineRule="auto"/>
        <w:jc w:val="both"/>
        <w:rPr>
          <w:sz w:val="20"/>
          <w:szCs w:val="20"/>
        </w:rPr>
      </w:pPr>
    </w:p>
    <w:p w14:paraId="1B5A7672" w14:textId="77777777" w:rsidR="005249E9" w:rsidRDefault="005249E9" w:rsidP="005249E9">
      <w:pPr>
        <w:spacing w:before="120" w:after="120" w:line="276" w:lineRule="auto"/>
        <w:jc w:val="both"/>
        <w:rPr>
          <w:sz w:val="20"/>
          <w:szCs w:val="20"/>
        </w:rPr>
      </w:pPr>
    </w:p>
    <w:p w14:paraId="2FC97400" w14:textId="77777777" w:rsidR="005249E9" w:rsidRDefault="005249E9" w:rsidP="005249E9">
      <w:pPr>
        <w:spacing w:before="120" w:after="120" w:line="276" w:lineRule="auto"/>
        <w:jc w:val="both"/>
        <w:rPr>
          <w:sz w:val="20"/>
          <w:szCs w:val="20"/>
        </w:rPr>
      </w:pPr>
    </w:p>
    <w:p w14:paraId="1ED32156" w14:textId="77777777" w:rsidR="005249E9" w:rsidRDefault="005249E9" w:rsidP="005249E9">
      <w:pPr>
        <w:spacing w:before="120" w:after="120" w:line="276" w:lineRule="auto"/>
        <w:jc w:val="both"/>
        <w:rPr>
          <w:sz w:val="20"/>
          <w:szCs w:val="20"/>
        </w:rPr>
      </w:pPr>
    </w:p>
    <w:p w14:paraId="75A55FCD" w14:textId="77777777" w:rsidR="005249E9" w:rsidRDefault="005249E9" w:rsidP="005249E9">
      <w:pPr>
        <w:spacing w:before="120" w:after="120" w:line="276" w:lineRule="auto"/>
        <w:jc w:val="both"/>
        <w:rPr>
          <w:sz w:val="20"/>
          <w:szCs w:val="20"/>
        </w:rPr>
      </w:pPr>
    </w:p>
    <w:p w14:paraId="7BED9EB6" w14:textId="1AFF4F70" w:rsidR="0067295C" w:rsidRPr="00150327" w:rsidRDefault="0067295C" w:rsidP="006729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50327">
        <w:rPr>
          <w:rFonts w:ascii="Arial" w:hAnsi="Arial" w:cs="Arial"/>
          <w:b/>
          <w:bCs/>
          <w:sz w:val="20"/>
          <w:szCs w:val="20"/>
        </w:rPr>
        <w:lastRenderedPageBreak/>
        <w:t xml:space="preserve">OPINIOWANIE GMINNEGO PROGRAMU REWITALIZACJI GMINY </w:t>
      </w:r>
      <w:r w:rsidR="007F3A95" w:rsidRPr="00150327">
        <w:rPr>
          <w:rFonts w:ascii="Arial" w:hAnsi="Arial" w:cs="Arial"/>
          <w:b/>
          <w:bCs/>
          <w:sz w:val="20"/>
          <w:szCs w:val="20"/>
        </w:rPr>
        <w:t>SULEJÓW</w:t>
      </w:r>
    </w:p>
    <w:p w14:paraId="65EE9444" w14:textId="77777777" w:rsidR="0067295C" w:rsidRDefault="0067295C" w:rsidP="0067295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50327">
        <w:rPr>
          <w:rFonts w:ascii="Arial" w:hAnsi="Arial" w:cs="Arial"/>
          <w:sz w:val="20"/>
          <w:szCs w:val="20"/>
        </w:rPr>
        <w:t>Zgodnie z Art. 17. 1. Ustawy o rewitalizacji, burmistrz po podjęciu przez radę gminy uchwały o przystąpieniu do sporządzenia gminnego programu rewitalizacji, występuje o zaopiniowanie projektu gminnego programu rewitalizacji.</w:t>
      </w:r>
    </w:p>
    <w:p w14:paraId="50DF62E5" w14:textId="10E4B5D0" w:rsidR="0067295C" w:rsidRDefault="0067295C" w:rsidP="00150327">
      <w:pPr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50327">
        <w:rPr>
          <w:rFonts w:ascii="Arial" w:hAnsi="Arial" w:cs="Arial"/>
          <w:sz w:val="20"/>
          <w:szCs w:val="20"/>
        </w:rPr>
        <w:t xml:space="preserve">Poniżej przedstawiono zestawienie organów, do których wystąpiono o zaopiniowanie projektu GPR. W przypadku otrzymanych uwag, odniesiono się do nich pod </w:t>
      </w:r>
      <w:r w:rsidR="00150327" w:rsidRPr="00150327">
        <w:rPr>
          <w:rFonts w:ascii="Arial" w:hAnsi="Arial" w:cs="Arial"/>
          <w:sz w:val="20"/>
          <w:szCs w:val="20"/>
        </w:rPr>
        <w:t>zestawieniem</w:t>
      </w:r>
      <w:r w:rsidRPr="00150327">
        <w:rPr>
          <w:rFonts w:ascii="Arial" w:hAnsi="Arial" w:cs="Arial"/>
          <w:sz w:val="20"/>
          <w:szCs w:val="20"/>
        </w:rPr>
        <w:t>. Zgodnie z Art. 18. pkt 3 ustawy o rewitalizacji, nieprzedstawienie opinii w wyznaczonym terminie uważa się za równoznaczne z pozytywnym zaopiniowaniem projektu gminnego programu rewitalizacji.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0327" w:rsidRPr="001825A9" w14:paraId="26DBF100" w14:textId="77777777" w:rsidTr="00150327">
        <w:tc>
          <w:tcPr>
            <w:tcW w:w="4531" w:type="dxa"/>
          </w:tcPr>
          <w:p w14:paraId="50C570F8" w14:textId="5D9F9316" w:rsidR="00150327" w:rsidRPr="001825A9" w:rsidRDefault="00150327" w:rsidP="001825A9">
            <w:pPr>
              <w:spacing w:before="120" w:after="120" w:line="276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5A9">
              <w:rPr>
                <w:rFonts w:ascii="Arial" w:hAnsi="Arial" w:cs="Arial"/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4531" w:type="dxa"/>
          </w:tcPr>
          <w:p w14:paraId="418BAF96" w14:textId="6F5B3CDD" w:rsidR="00150327" w:rsidRPr="001825A9" w:rsidRDefault="00150327" w:rsidP="001825A9">
            <w:pPr>
              <w:spacing w:before="120" w:after="120" w:line="276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5A9">
              <w:rPr>
                <w:rFonts w:ascii="Arial" w:hAnsi="Arial" w:cs="Arial"/>
                <w:b/>
                <w:bCs/>
                <w:sz w:val="20"/>
                <w:szCs w:val="20"/>
              </w:rPr>
              <w:t>Wynik opiniowania</w:t>
            </w:r>
          </w:p>
        </w:tc>
      </w:tr>
      <w:tr w:rsidR="00150327" w:rsidRPr="001825A9" w14:paraId="35B6926B" w14:textId="77777777" w:rsidTr="00150327">
        <w:tc>
          <w:tcPr>
            <w:tcW w:w="4531" w:type="dxa"/>
          </w:tcPr>
          <w:p w14:paraId="5EB948DE" w14:textId="7E63C128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Zarząd Powiatu Piotrkowskiego,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 Dąbrowskiego 7,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4531" w:type="dxa"/>
          </w:tcPr>
          <w:p w14:paraId="052D4B83" w14:textId="2E68F475" w:rsidR="00150327" w:rsidRPr="001825A9" w:rsidRDefault="00BF54A6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uwag</w:t>
            </w:r>
          </w:p>
        </w:tc>
      </w:tr>
      <w:tr w:rsidR="00150327" w:rsidRPr="001825A9" w14:paraId="13DF8379" w14:textId="77777777" w:rsidTr="00150327">
        <w:tc>
          <w:tcPr>
            <w:tcW w:w="4531" w:type="dxa"/>
          </w:tcPr>
          <w:p w14:paraId="381BE4B2" w14:textId="3F916CA2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Zarząd Województwa Łódzkiego,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al. Piłsudskiego 8, 90-051 Łódź</w:t>
            </w:r>
          </w:p>
        </w:tc>
        <w:tc>
          <w:tcPr>
            <w:tcW w:w="4531" w:type="dxa"/>
          </w:tcPr>
          <w:p w14:paraId="212141A1" w14:textId="3E62057D" w:rsidR="00150327" w:rsidRPr="001825A9" w:rsidRDefault="00BF54A6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2801CA83" w14:textId="77777777" w:rsidTr="00150327">
        <w:tc>
          <w:tcPr>
            <w:tcW w:w="4531" w:type="dxa"/>
          </w:tcPr>
          <w:p w14:paraId="00C38577" w14:textId="74145006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Wojewoda Łódzki Dorota Ryl,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Łódzki Urząd Wojewódzki w Łodzi,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Piotrkowska 104, 90-926 Łódź</w:t>
            </w:r>
          </w:p>
        </w:tc>
        <w:tc>
          <w:tcPr>
            <w:tcW w:w="4531" w:type="dxa"/>
          </w:tcPr>
          <w:p w14:paraId="67E3C4CD" w14:textId="4FB037BD" w:rsidR="00150327" w:rsidRPr="001825A9" w:rsidRDefault="001825A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55DB6FCA" w14:textId="77777777" w:rsidTr="00150327">
        <w:tc>
          <w:tcPr>
            <w:tcW w:w="4531" w:type="dxa"/>
          </w:tcPr>
          <w:p w14:paraId="67C2C0F4" w14:textId="53F62A0B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25 Brygada Kawalerii Powietrznej,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 Piłsudskiego 72,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97-200 Tomaszów Mazowiecki</w:t>
            </w:r>
          </w:p>
        </w:tc>
        <w:tc>
          <w:tcPr>
            <w:tcW w:w="4531" w:type="dxa"/>
          </w:tcPr>
          <w:p w14:paraId="357147C7" w14:textId="42BF7CA6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7E586B64" w14:textId="77777777" w:rsidTr="00150327">
        <w:tc>
          <w:tcPr>
            <w:tcW w:w="4531" w:type="dxa"/>
          </w:tcPr>
          <w:p w14:paraId="5E5C71B2" w14:textId="5029D7F9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Komisariat Policji w Sulejowie,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Szkolna 5, 97-330 Sulejów</w:t>
            </w:r>
          </w:p>
        </w:tc>
        <w:tc>
          <w:tcPr>
            <w:tcW w:w="4531" w:type="dxa"/>
          </w:tcPr>
          <w:p w14:paraId="1B82A749" w14:textId="471DBB94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3DC89B4D" w14:textId="77777777" w:rsidTr="00150327">
        <w:tc>
          <w:tcPr>
            <w:tcW w:w="4531" w:type="dxa"/>
          </w:tcPr>
          <w:p w14:paraId="211CCD4C" w14:textId="704F58B3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st. bryg. mgr inż. Paweł Dela Komendant Miejski Państwowej Straży Pożarnej w Piotrkowie Trybunalskim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Jagiellońska 11, 97-300 Piotrków Trybunalski</w:t>
            </w:r>
          </w:p>
        </w:tc>
        <w:tc>
          <w:tcPr>
            <w:tcW w:w="4531" w:type="dxa"/>
          </w:tcPr>
          <w:p w14:paraId="68FC9AB9" w14:textId="5AB1FD59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3F76410E" w14:textId="77777777" w:rsidTr="00150327">
        <w:tc>
          <w:tcPr>
            <w:tcW w:w="4531" w:type="dxa"/>
          </w:tcPr>
          <w:p w14:paraId="53FAA89F" w14:textId="2F0AC4CA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Łódzki Wojewódzki Inspektor Sanitarny, Wojewódzka Stacja Sanitarno-Epidemiologiczna w Łodzi,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Wodna 40,  90-046 Łódź</w:t>
            </w:r>
          </w:p>
        </w:tc>
        <w:tc>
          <w:tcPr>
            <w:tcW w:w="4531" w:type="dxa"/>
          </w:tcPr>
          <w:p w14:paraId="5223B8D2" w14:textId="15DA4309" w:rsidR="00150327" w:rsidRPr="001825A9" w:rsidRDefault="005249E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6AF6BB21" w14:textId="77777777" w:rsidTr="00150327">
        <w:tc>
          <w:tcPr>
            <w:tcW w:w="4531" w:type="dxa"/>
          </w:tcPr>
          <w:p w14:paraId="681D27BB" w14:textId="41C28BC4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Gminna Komisja Urbanistyczno</w:t>
            </w:r>
            <w:r w:rsidR="005249E9" w:rsidRPr="001825A9">
              <w:rPr>
                <w:rFonts w:ascii="Arial" w:hAnsi="Arial" w:cs="Arial"/>
                <w:sz w:val="20"/>
                <w:szCs w:val="20"/>
              </w:rPr>
              <w:t>-</w:t>
            </w:r>
            <w:r w:rsidRPr="001825A9">
              <w:rPr>
                <w:rFonts w:ascii="Arial" w:hAnsi="Arial" w:cs="Arial"/>
                <w:sz w:val="20"/>
                <w:szCs w:val="20"/>
              </w:rPr>
              <w:t>Architektoniczna, Urząd Miejski w Sulejowie, ul. Konecka 42, 97-330 Sulejów</w:t>
            </w:r>
          </w:p>
        </w:tc>
        <w:tc>
          <w:tcPr>
            <w:tcW w:w="4531" w:type="dxa"/>
          </w:tcPr>
          <w:p w14:paraId="418A1FE7" w14:textId="79511E57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2ED13045" w14:textId="77777777" w:rsidTr="00150327">
        <w:tc>
          <w:tcPr>
            <w:tcW w:w="4531" w:type="dxa"/>
          </w:tcPr>
          <w:p w14:paraId="5F5B00EB" w14:textId="79B8FA78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Zarząd Dróg Powiatowych w Piotrkowie Trybunalskim,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 Jarosława Dąbrowskiego 12,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4531" w:type="dxa"/>
          </w:tcPr>
          <w:p w14:paraId="413F273D" w14:textId="3805D5BC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6E500E43" w14:textId="77777777" w:rsidTr="00150327">
        <w:tc>
          <w:tcPr>
            <w:tcW w:w="4531" w:type="dxa"/>
          </w:tcPr>
          <w:p w14:paraId="35EC9AE7" w14:textId="486DC434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Miejski Zarząd Komunalny w Sulejowie,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Konecka 46, 97-330 Sulejów</w:t>
            </w:r>
          </w:p>
        </w:tc>
        <w:tc>
          <w:tcPr>
            <w:tcW w:w="4531" w:type="dxa"/>
          </w:tcPr>
          <w:p w14:paraId="50FF5440" w14:textId="52E556F3" w:rsidR="00150327" w:rsidRPr="001825A9" w:rsidRDefault="00431F2F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5CAC8D1B" w14:textId="77777777" w:rsidTr="00150327">
        <w:tc>
          <w:tcPr>
            <w:tcW w:w="4531" w:type="dxa"/>
          </w:tcPr>
          <w:p w14:paraId="41212593" w14:textId="28FCABEA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lastRenderedPageBreak/>
              <w:t xml:space="preserve">PGE Dystrybucja S.A. Oddział Łódź. Rejon Energetyczny Piotrków Trybunalski,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 Gabriela Narutowicza 58/60,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4531" w:type="dxa"/>
          </w:tcPr>
          <w:p w14:paraId="2FAB60C7" w14:textId="6B6C9BE2" w:rsidR="00150327" w:rsidRPr="001825A9" w:rsidRDefault="001825A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Brak uwag</w:t>
            </w:r>
          </w:p>
        </w:tc>
      </w:tr>
      <w:tr w:rsidR="00150327" w:rsidRPr="001825A9" w14:paraId="3414F158" w14:textId="77777777" w:rsidTr="00150327">
        <w:tc>
          <w:tcPr>
            <w:tcW w:w="4531" w:type="dxa"/>
          </w:tcPr>
          <w:p w14:paraId="454CE246" w14:textId="005BF086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Generalna Dyrekcja Dróg Krajowych i Autostrad – Oddział w Łodzi Rejon w Opocznie,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825A9">
              <w:rPr>
                <w:rFonts w:ascii="Arial" w:hAnsi="Arial" w:cs="Arial"/>
                <w:sz w:val="20"/>
                <w:szCs w:val="20"/>
              </w:rPr>
              <w:t>Zakątna</w:t>
            </w:r>
            <w:proofErr w:type="spellEnd"/>
            <w:r w:rsidRPr="001825A9">
              <w:rPr>
                <w:rFonts w:ascii="Arial" w:hAnsi="Arial" w:cs="Arial"/>
                <w:sz w:val="20"/>
                <w:szCs w:val="20"/>
              </w:rPr>
              <w:t xml:space="preserve"> 6, 26-300 Opoczno</w:t>
            </w:r>
          </w:p>
        </w:tc>
        <w:tc>
          <w:tcPr>
            <w:tcW w:w="4531" w:type="dxa"/>
          </w:tcPr>
          <w:p w14:paraId="487CE545" w14:textId="77777777" w:rsidR="00150327" w:rsidRPr="001825A9" w:rsidRDefault="005249E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Brak uwag</w:t>
            </w:r>
          </w:p>
          <w:p w14:paraId="20B2E5F4" w14:textId="77777777" w:rsidR="005249E9" w:rsidRPr="001825A9" w:rsidRDefault="005249E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GDDKiA Oddział w Łodzi podkreśliła konieczność uwzględnienia przebiegu dróg krajowych Nr 12 i 74 w granicach administracyjnych gminy Sulejów, przy realizacji inwestycji przewidzianych w ramach rewitalizacji wybranych obszarów oraz przeanalizowania sposobu zagospodarowania i skomunikowania ww. obszarów pod kątem obowiązujących przepisów ustawy z dnia 21 marca 1985 r. o drogach publicznych (tekst jedn. Dz. U. z 2024 r. poz. 320 ze zm.) oraz rozporządzenia Ministra Infrastruktury z dnia 24 czerwca 2022 r. w sprawie przepisów techniczno-budowlanych dotyczących dróg publicznych (Dz. U. z 2022 r. poz. 1518).</w:t>
            </w:r>
          </w:p>
          <w:p w14:paraId="319173D1" w14:textId="0E065D14" w:rsidR="005249E9" w:rsidRPr="001825A9" w:rsidRDefault="00520F3C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Powyższe n</w:t>
            </w:r>
            <w:r w:rsidR="005249E9" w:rsidRPr="001825A9">
              <w:rPr>
                <w:rFonts w:ascii="Arial" w:hAnsi="Arial" w:cs="Arial"/>
                <w:sz w:val="20"/>
                <w:szCs w:val="20"/>
              </w:rPr>
              <w:t>ie wymaga wniesienia zmian w</w:t>
            </w:r>
            <w:r w:rsidR="001825A9">
              <w:rPr>
                <w:rFonts w:ascii="Arial" w:hAnsi="Arial" w:cs="Arial"/>
                <w:sz w:val="20"/>
                <w:szCs w:val="20"/>
              </w:rPr>
              <w:t> </w:t>
            </w:r>
            <w:r w:rsidR="005249E9" w:rsidRPr="001825A9">
              <w:rPr>
                <w:rFonts w:ascii="Arial" w:hAnsi="Arial" w:cs="Arial"/>
                <w:sz w:val="20"/>
                <w:szCs w:val="20"/>
              </w:rPr>
              <w:t>projekcie GPR.</w:t>
            </w:r>
          </w:p>
        </w:tc>
      </w:tr>
      <w:tr w:rsidR="00150327" w:rsidRPr="001825A9" w14:paraId="755661EE" w14:textId="77777777" w:rsidTr="00150327">
        <w:tc>
          <w:tcPr>
            <w:tcW w:w="4531" w:type="dxa"/>
          </w:tcPr>
          <w:p w14:paraId="7B883BDF" w14:textId="62270737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Krajowy Zasób Nieruchomości,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Nowy Świat 19, 00-029 Warszawa</w:t>
            </w:r>
          </w:p>
        </w:tc>
        <w:tc>
          <w:tcPr>
            <w:tcW w:w="4531" w:type="dxa"/>
          </w:tcPr>
          <w:p w14:paraId="346DDA24" w14:textId="517964FA" w:rsidR="00150327" w:rsidRPr="001825A9" w:rsidRDefault="0031441E" w:rsidP="0031441E">
            <w:pPr>
              <w:tabs>
                <w:tab w:val="left" w:pos="1425"/>
              </w:tabs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4C3408" w:rsidRPr="001825A9" w14:paraId="2EF7CA75" w14:textId="77777777" w:rsidTr="00150327">
        <w:tc>
          <w:tcPr>
            <w:tcW w:w="4531" w:type="dxa"/>
          </w:tcPr>
          <w:p w14:paraId="719E2722" w14:textId="4CDB920B" w:rsidR="004C3408" w:rsidRPr="001825A9" w:rsidRDefault="004C3408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Łódzki Wojewódzki Konserwator Zabytków, </w:t>
            </w:r>
            <w:r w:rsid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ul. Piotrkowska 99, 90-425 Łódź</w:t>
            </w:r>
          </w:p>
        </w:tc>
        <w:tc>
          <w:tcPr>
            <w:tcW w:w="4531" w:type="dxa"/>
          </w:tcPr>
          <w:p w14:paraId="5B50346B" w14:textId="6CD35E73" w:rsidR="004C3408" w:rsidRPr="001825A9" w:rsidRDefault="00520F3C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Opinia negatywna z uwagami – wyjaśnienie w</w:t>
            </w:r>
            <w:r w:rsidR="001825A9">
              <w:rPr>
                <w:rFonts w:ascii="Arial" w:hAnsi="Arial" w:cs="Arial"/>
                <w:sz w:val="20"/>
                <w:szCs w:val="20"/>
              </w:rPr>
              <w:t> </w:t>
            </w:r>
            <w:r w:rsidRPr="001825A9">
              <w:rPr>
                <w:rFonts w:ascii="Arial" w:hAnsi="Arial" w:cs="Arial"/>
                <w:sz w:val="20"/>
                <w:szCs w:val="20"/>
              </w:rPr>
              <w:t>dalszej części, pod tabelą</w:t>
            </w:r>
          </w:p>
        </w:tc>
      </w:tr>
      <w:tr w:rsidR="00150327" w:rsidRPr="001825A9" w14:paraId="4CCCD56F" w14:textId="77777777" w:rsidTr="00150327">
        <w:tc>
          <w:tcPr>
            <w:tcW w:w="4531" w:type="dxa"/>
          </w:tcPr>
          <w:p w14:paraId="56609FD0" w14:textId="34DA344F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Dyrektor Zarządu Zlewni w Piotrkowie Trybunalskim,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 xml:space="preserve">ul. Gabriela Narutowicza 9/13,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4531" w:type="dxa"/>
          </w:tcPr>
          <w:p w14:paraId="53DFD3CA" w14:textId="367D8B11" w:rsidR="00150327" w:rsidRPr="001825A9" w:rsidRDefault="0031441E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pozytywna</w:t>
            </w:r>
          </w:p>
        </w:tc>
      </w:tr>
      <w:tr w:rsidR="00150327" w:rsidRPr="001825A9" w14:paraId="1BDA43EF" w14:textId="77777777" w:rsidTr="00150327">
        <w:tc>
          <w:tcPr>
            <w:tcW w:w="4531" w:type="dxa"/>
          </w:tcPr>
          <w:p w14:paraId="33356C45" w14:textId="32158388" w:rsidR="00150327" w:rsidRPr="001825A9" w:rsidRDefault="00150327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Nadleśnictwo Piotrków, </w:t>
            </w:r>
            <w:r w:rsidR="008407B4" w:rsidRPr="001825A9">
              <w:rPr>
                <w:rFonts w:ascii="Arial" w:hAnsi="Arial" w:cs="Arial"/>
                <w:sz w:val="20"/>
                <w:szCs w:val="20"/>
              </w:rPr>
              <w:br/>
            </w:r>
            <w:r w:rsidRPr="001825A9">
              <w:rPr>
                <w:rFonts w:ascii="Arial" w:hAnsi="Arial" w:cs="Arial"/>
                <w:sz w:val="20"/>
                <w:szCs w:val="20"/>
              </w:rPr>
              <w:t>Łęczno 101, 97-330 Sulejów</w:t>
            </w:r>
          </w:p>
        </w:tc>
        <w:tc>
          <w:tcPr>
            <w:tcW w:w="4531" w:type="dxa"/>
          </w:tcPr>
          <w:p w14:paraId="30995941" w14:textId="77777777" w:rsidR="005249E9" w:rsidRPr="001825A9" w:rsidRDefault="005249E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Umorzenie</w:t>
            </w:r>
          </w:p>
          <w:p w14:paraId="2387627E" w14:textId="2D2E2A09" w:rsidR="00150327" w:rsidRPr="001825A9" w:rsidRDefault="005249E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Nadleśnictwo Piotrków nie posiada właściwości rzeczowej z uwagi na fakt, że zarząd sprawowany przez Lasy Państwowe nie ma charakteru trwałego zarządu w rozumieniu ustawy o gospodarce nieruchomościami (Państwowe Gospodarstwo Leśne Lasy Państwowe opiniuje projekty gminnego programu rewitalizacji jedynie w zakresie nieruchomości Skarbu Państwa będących w</w:t>
            </w:r>
            <w:r w:rsidR="001825A9">
              <w:rPr>
                <w:rFonts w:ascii="Arial" w:hAnsi="Arial" w:cs="Arial"/>
                <w:sz w:val="20"/>
                <w:szCs w:val="20"/>
              </w:rPr>
              <w:t> </w:t>
            </w:r>
            <w:r w:rsidRPr="001825A9">
              <w:rPr>
                <w:rFonts w:ascii="Arial" w:hAnsi="Arial" w:cs="Arial"/>
                <w:sz w:val="20"/>
                <w:szCs w:val="20"/>
              </w:rPr>
              <w:t>trwałym zarządzie tego Gospodarstwa.)</w:t>
            </w:r>
          </w:p>
        </w:tc>
      </w:tr>
      <w:tr w:rsidR="008407B4" w:rsidRPr="001825A9" w14:paraId="20B058E6" w14:textId="77777777" w:rsidTr="00150327">
        <w:tc>
          <w:tcPr>
            <w:tcW w:w="4531" w:type="dxa"/>
          </w:tcPr>
          <w:p w14:paraId="7032E06F" w14:textId="6FE31740" w:rsidR="008407B4" w:rsidRPr="001825A9" w:rsidRDefault="008407B4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Państwowe Gospodarstwo Wodne Wody Polskie </w:t>
            </w:r>
          </w:p>
        </w:tc>
        <w:tc>
          <w:tcPr>
            <w:tcW w:w="4531" w:type="dxa"/>
          </w:tcPr>
          <w:p w14:paraId="6AD8F809" w14:textId="75C32F5A" w:rsidR="008407B4" w:rsidRPr="001825A9" w:rsidRDefault="008407B4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>Odmowa uzgodnienia z uwagami</w:t>
            </w:r>
            <w:r w:rsidR="001825A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825A9" w:rsidRPr="001825A9">
              <w:rPr>
                <w:rFonts w:ascii="Arial" w:hAnsi="Arial" w:cs="Arial"/>
                <w:sz w:val="20"/>
                <w:szCs w:val="20"/>
              </w:rPr>
              <w:t>– wyjaśnienie w</w:t>
            </w:r>
            <w:r w:rsidR="001825A9">
              <w:rPr>
                <w:rFonts w:ascii="Arial" w:hAnsi="Arial" w:cs="Arial"/>
                <w:sz w:val="20"/>
                <w:szCs w:val="20"/>
              </w:rPr>
              <w:t> </w:t>
            </w:r>
            <w:r w:rsidR="001825A9" w:rsidRPr="001825A9">
              <w:rPr>
                <w:rFonts w:ascii="Arial" w:hAnsi="Arial" w:cs="Arial"/>
                <w:sz w:val="20"/>
                <w:szCs w:val="20"/>
              </w:rPr>
              <w:t>dalszej części, pod tabelą</w:t>
            </w:r>
          </w:p>
        </w:tc>
      </w:tr>
      <w:tr w:rsidR="001825A9" w:rsidRPr="001825A9" w14:paraId="05B593B9" w14:textId="77777777" w:rsidTr="00150327">
        <w:tc>
          <w:tcPr>
            <w:tcW w:w="4531" w:type="dxa"/>
          </w:tcPr>
          <w:p w14:paraId="013872E0" w14:textId="7A6606C9" w:rsidR="001825A9" w:rsidRPr="001825A9" w:rsidRDefault="001825A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lastRenderedPageBreak/>
              <w:t>Regionalny Dyrektor Ochrony Środowiska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825A9">
              <w:rPr>
                <w:rFonts w:ascii="Arial" w:hAnsi="Arial" w:cs="Arial"/>
                <w:sz w:val="20"/>
                <w:szCs w:val="20"/>
              </w:rPr>
              <w:t>Łodzi</w:t>
            </w:r>
          </w:p>
        </w:tc>
        <w:tc>
          <w:tcPr>
            <w:tcW w:w="4531" w:type="dxa"/>
          </w:tcPr>
          <w:p w14:paraId="6D9B9BD1" w14:textId="63DB7568" w:rsidR="001825A9" w:rsidRPr="001825A9" w:rsidRDefault="001825A9" w:rsidP="001825A9">
            <w:pPr>
              <w:spacing w:before="120" w:after="120"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5A9">
              <w:rPr>
                <w:rFonts w:ascii="Arial" w:hAnsi="Arial" w:cs="Arial"/>
                <w:sz w:val="20"/>
                <w:szCs w:val="20"/>
              </w:rPr>
              <w:t xml:space="preserve">Brak uwag </w:t>
            </w:r>
            <w:r w:rsidRPr="001825A9">
              <w:rPr>
                <w:rFonts w:ascii="Arial" w:hAnsi="Arial" w:cs="Arial"/>
                <w:sz w:val="20"/>
                <w:szCs w:val="20"/>
              </w:rPr>
              <w:br/>
              <w:t xml:space="preserve">(opinia </w:t>
            </w:r>
            <w:r w:rsidR="00714CD4">
              <w:rPr>
                <w:rFonts w:ascii="Arial" w:hAnsi="Arial" w:cs="Arial"/>
                <w:sz w:val="20"/>
                <w:szCs w:val="20"/>
              </w:rPr>
              <w:t xml:space="preserve">wydana </w:t>
            </w:r>
            <w:r w:rsidRPr="001825A9">
              <w:rPr>
                <w:rFonts w:ascii="Arial" w:hAnsi="Arial" w:cs="Arial"/>
                <w:sz w:val="20"/>
                <w:szCs w:val="20"/>
              </w:rPr>
              <w:t>w zakresie form ochrony przyrody)</w:t>
            </w:r>
          </w:p>
        </w:tc>
      </w:tr>
    </w:tbl>
    <w:p w14:paraId="2CD04ECC" w14:textId="77777777" w:rsidR="00150327" w:rsidRDefault="00150327" w:rsidP="0067295C">
      <w:pPr>
        <w:jc w:val="both"/>
        <w:rPr>
          <w:rFonts w:ascii="Arial" w:hAnsi="Arial" w:cs="Arial"/>
          <w:sz w:val="20"/>
          <w:szCs w:val="20"/>
        </w:rPr>
      </w:pPr>
    </w:p>
    <w:p w14:paraId="26102DB4" w14:textId="77777777" w:rsidR="00514FCE" w:rsidRDefault="00514FCE" w:rsidP="0067295C">
      <w:pPr>
        <w:jc w:val="both"/>
        <w:rPr>
          <w:rFonts w:ascii="Arial" w:hAnsi="Arial" w:cs="Arial"/>
          <w:sz w:val="20"/>
          <w:szCs w:val="20"/>
        </w:rPr>
      </w:pPr>
    </w:p>
    <w:p w14:paraId="41011AA9" w14:textId="14B26476" w:rsidR="00520F3C" w:rsidRPr="00520F3C" w:rsidRDefault="00520F3C" w:rsidP="00520F3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20F3C">
        <w:rPr>
          <w:rFonts w:ascii="Arial" w:hAnsi="Arial" w:cs="Arial"/>
          <w:sz w:val="20"/>
          <w:szCs w:val="20"/>
        </w:rPr>
        <w:t>Opinia Łódzkiego Wojewódzkiego Konserwatora Zabytków</w:t>
      </w:r>
    </w:p>
    <w:p w14:paraId="4F3FC569" w14:textId="3923991F" w:rsidR="00520F3C" w:rsidRDefault="00520F3C" w:rsidP="00520F3C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52EF">
        <w:rPr>
          <w:rFonts w:ascii="Arial" w:hAnsi="Arial" w:cs="Arial"/>
          <w:sz w:val="20"/>
          <w:szCs w:val="20"/>
        </w:rPr>
        <w:t>W odpowiedzi na</w:t>
      </w:r>
      <w:r w:rsidRPr="001C52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52EF">
        <w:rPr>
          <w:rFonts w:ascii="Arial" w:hAnsi="Arial" w:cs="Arial"/>
          <w:sz w:val="20"/>
          <w:szCs w:val="20"/>
        </w:rPr>
        <w:t>pismo znak WUOZ-PP.5150.717.2024.AD</w:t>
      </w:r>
      <w:r>
        <w:rPr>
          <w:rFonts w:ascii="Arial" w:hAnsi="Arial" w:cs="Arial"/>
          <w:sz w:val="20"/>
          <w:szCs w:val="20"/>
        </w:rPr>
        <w:t xml:space="preserve"> z dnia 07.01.2025 r.</w:t>
      </w:r>
      <w:r w:rsidRPr="001C52EF">
        <w:rPr>
          <w:rFonts w:ascii="Arial" w:hAnsi="Arial" w:cs="Arial"/>
          <w:sz w:val="20"/>
          <w:szCs w:val="20"/>
        </w:rPr>
        <w:t xml:space="preserve"> informujące</w:t>
      </w:r>
      <w:r w:rsidR="00BF54A6">
        <w:rPr>
          <w:rFonts w:ascii="Arial" w:hAnsi="Arial" w:cs="Arial"/>
          <w:sz w:val="20"/>
          <w:szCs w:val="20"/>
        </w:rPr>
        <w:br/>
      </w:r>
      <w:r w:rsidRPr="001C52EF">
        <w:rPr>
          <w:rFonts w:ascii="Arial" w:hAnsi="Arial" w:cs="Arial"/>
          <w:sz w:val="20"/>
          <w:szCs w:val="20"/>
        </w:rPr>
        <w:t xml:space="preserve"> o negatywnym zaopiniowaniu przedłożonego projektu Gminnego Programu Rewitalizacji Gminy Sulejów, Gmina Sulejów </w:t>
      </w:r>
      <w:r>
        <w:rPr>
          <w:rFonts w:ascii="Arial" w:hAnsi="Arial" w:cs="Arial"/>
          <w:sz w:val="20"/>
          <w:szCs w:val="20"/>
        </w:rPr>
        <w:t>w dniu</w:t>
      </w:r>
      <w:r w:rsidR="00431F2F">
        <w:rPr>
          <w:rFonts w:ascii="Arial" w:hAnsi="Arial" w:cs="Arial"/>
          <w:sz w:val="20"/>
          <w:szCs w:val="20"/>
        </w:rPr>
        <w:t xml:space="preserve"> 09.01.2025 </w:t>
      </w:r>
      <w:r>
        <w:rPr>
          <w:rFonts w:ascii="Arial" w:hAnsi="Arial" w:cs="Arial"/>
          <w:sz w:val="20"/>
          <w:szCs w:val="20"/>
        </w:rPr>
        <w:t xml:space="preserve"> przekazała poprawiony projekt GPR do ponownej oceny. </w:t>
      </w:r>
    </w:p>
    <w:p w14:paraId="1FE24C11" w14:textId="77777777" w:rsidR="00520F3C" w:rsidRDefault="00520F3C" w:rsidP="00520F3C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przedstawiono uwagi ŁWKZ oraz wprowadzone na ich podstawie korekty / uzupełnienia.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0F3C" w:rsidRPr="00520F3C" w14:paraId="1AFEB4A6" w14:textId="77777777" w:rsidTr="00520F3C">
        <w:tc>
          <w:tcPr>
            <w:tcW w:w="4531" w:type="dxa"/>
          </w:tcPr>
          <w:p w14:paraId="0AA652B0" w14:textId="59C02158" w:rsidR="00520F3C" w:rsidRPr="00520F3C" w:rsidRDefault="00520F3C" w:rsidP="00520F3C">
            <w:pPr>
              <w:spacing w:before="120" w:after="120" w:line="276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F3C">
              <w:rPr>
                <w:rFonts w:ascii="Arial" w:hAnsi="Arial" w:cs="Arial"/>
                <w:b/>
                <w:bCs/>
                <w:sz w:val="20"/>
                <w:szCs w:val="20"/>
              </w:rPr>
              <w:t>uwaga</w:t>
            </w:r>
          </w:p>
        </w:tc>
        <w:tc>
          <w:tcPr>
            <w:tcW w:w="4531" w:type="dxa"/>
          </w:tcPr>
          <w:p w14:paraId="29BEE25C" w14:textId="79B8D05A" w:rsidR="00520F3C" w:rsidRPr="00520F3C" w:rsidRDefault="00520F3C" w:rsidP="00520F3C">
            <w:pPr>
              <w:spacing w:before="120" w:after="120" w:line="276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20F3C">
              <w:rPr>
                <w:rFonts w:ascii="Arial" w:hAnsi="Arial" w:cs="Arial"/>
                <w:b/>
                <w:bCs/>
                <w:sz w:val="20"/>
                <w:szCs w:val="20"/>
              </w:rPr>
              <w:t>yjaśnienie/ uzupełnienie</w:t>
            </w:r>
          </w:p>
        </w:tc>
      </w:tr>
      <w:tr w:rsidR="00520F3C" w14:paraId="07F43E98" w14:textId="77777777" w:rsidTr="00520F3C">
        <w:tc>
          <w:tcPr>
            <w:tcW w:w="4531" w:type="dxa"/>
          </w:tcPr>
          <w:p w14:paraId="3864F3E3" w14:textId="78B1927D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C52EF">
              <w:rPr>
                <w:rFonts w:ascii="Arial" w:hAnsi="Arial" w:cs="Arial"/>
                <w:sz w:val="20"/>
                <w:szCs w:val="20"/>
              </w:rPr>
              <w:t>Planowane przedsięwzięcie polegające na kompleksowej rewitalizacji gminy Sulejów, w szczególności „Rewitalizacja zabytkowego Opactwa Cystersów w Sulejowie – odbudowa południowego Skrzydła” oraz „Rewitalizacja zabytkowego Opactwa Cystersów w Sulejowie – odbudowa zachodniego Skrzydła”, stanowi istotną ingerencję w historyczną przestrzeń uznaną za pomnik historii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52EF">
              <w:rPr>
                <w:rFonts w:ascii="Arial" w:hAnsi="Arial" w:cs="Arial"/>
                <w:sz w:val="20"/>
                <w:szCs w:val="20"/>
              </w:rPr>
              <w:t>w zabytkową tkankę zespołu klasztornego. Z uwagi na znaczenie tego obiektu dla dziedzictwa kulturowego oraz potencjalne skutki wynikające z realizacji prac (w szczególności planowana działania polegające na odbudowie), konieczne jest wcześniejsze uzgodnienie zakresu planowanych działań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52EF">
              <w:rPr>
                <w:rFonts w:ascii="Arial" w:hAnsi="Arial" w:cs="Arial"/>
                <w:sz w:val="20"/>
                <w:szCs w:val="20"/>
              </w:rPr>
              <w:t>konserwatorem zabytków. Pozytywna opinia programu rewitalizacji, możliwa jest do uzyskania pod warunkiem, że przed przyjęciem programu zostaną uzgodnione szczegóły przedsięwzięcia, obejmujące m.in. zakres prac, oraz wykazanie działań zgodnych z zasadami ochrony zabytków. Takie podejście pozwoli na zapewnienie zgodności działań rewitalizacyjnych z wytycznymi konserwatorskimi, ochronę wartości historycznej i konserwatorskiej zabytkowego zespołu klasztornego, oraz uniknięciu rozbieżności pomiędzy wymaganiami konserwatorskimi a planowanym zamierzeniem inwestycyjnym.</w:t>
            </w:r>
          </w:p>
        </w:tc>
        <w:tc>
          <w:tcPr>
            <w:tcW w:w="4531" w:type="dxa"/>
          </w:tcPr>
          <w:p w14:paraId="7586F1EC" w14:textId="77777777" w:rsidR="00520F3C" w:rsidRDefault="00431F2F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Wyjaśniono, że przed rozpoczęciem realizacji tych działań Beneficjent wystąpi do Łódzkiego Wojewódzkiego Konserwatora Zabytków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o szczegółową opinię oraz uzgodnienia. Zakres prac zostanie przedstawiony wraz z pełną dokumentacją projektową, co pozwoli na weryfikację zgodności zamierzeń z zasadami ochrony zabytków i uniknięcie potencjalnych rozbieżności. </w:t>
            </w:r>
          </w:p>
          <w:p w14:paraId="13ED0C0E" w14:textId="58E99825" w:rsidR="00431F2F" w:rsidRDefault="00431F2F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F3C" w14:paraId="35F6A207" w14:textId="77777777" w:rsidTr="00520F3C">
        <w:tc>
          <w:tcPr>
            <w:tcW w:w="4531" w:type="dxa"/>
          </w:tcPr>
          <w:p w14:paraId="401207F6" w14:textId="65B444FD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1C52EF">
              <w:rPr>
                <w:rFonts w:ascii="Arial" w:hAnsi="Arial" w:cs="Arial"/>
                <w:sz w:val="20"/>
                <w:szCs w:val="20"/>
              </w:rPr>
              <w:t>W przypadku obiektów i obszarów objętych ochroną konserwatorską, w opisie planowanych przedsięwzięć, należy wskazać, że realizacja tych działań odbędzie się wyłącznie w zakresie uprzednio zaakceptowanym przez Wojewódzkiego Konserwatora Zabytków.</w:t>
            </w:r>
          </w:p>
        </w:tc>
        <w:tc>
          <w:tcPr>
            <w:tcW w:w="4531" w:type="dxa"/>
          </w:tcPr>
          <w:p w14:paraId="0EC851CB" w14:textId="46193661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Uzupełniono.</w:t>
            </w:r>
          </w:p>
        </w:tc>
      </w:tr>
      <w:tr w:rsidR="00520F3C" w14:paraId="0044ABB9" w14:textId="77777777" w:rsidTr="00520F3C">
        <w:tc>
          <w:tcPr>
            <w:tcW w:w="4531" w:type="dxa"/>
          </w:tcPr>
          <w:p w14:paraId="5333D799" w14:textId="0F57953D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Pr="001C52EF">
              <w:rPr>
                <w:rFonts w:ascii="Arial" w:hAnsi="Arial" w:cs="Arial"/>
                <w:sz w:val="20"/>
                <w:szCs w:val="20"/>
              </w:rPr>
              <w:t xml:space="preserve">Wprowadzono nieprawidłowy wykaz obiektów zamieszczonych w Gminnej Ewidencji Zabytków Gminy Sulejów. Wykaz powinien uwzględniać wszystkie obiekty ujęte w </w:t>
            </w:r>
            <w:bookmarkStart w:id="1" w:name="_Hlk187233440"/>
            <w:r w:rsidRPr="001C52EF">
              <w:rPr>
                <w:rFonts w:ascii="Arial" w:hAnsi="Arial" w:cs="Arial"/>
                <w:sz w:val="20"/>
                <w:szCs w:val="20"/>
              </w:rPr>
              <w:t>zarządzeniu nr 4/2016, Burmistrza Sulejowa z dnia 21 stycznia 2016 r.</w:t>
            </w:r>
            <w:bookmarkEnd w:id="1"/>
          </w:p>
          <w:p w14:paraId="51B2B2BF" w14:textId="2E04F378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C52EF">
              <w:rPr>
                <w:rFonts w:ascii="Arial" w:hAnsi="Arial" w:cs="Arial"/>
                <w:sz w:val="20"/>
                <w:szCs w:val="20"/>
              </w:rPr>
              <w:t>W wykazie dotyczącym zabytków wpisanych do rejestru zabytków, brak jest informacji o stanowiskach archeologicznych wpisanych do rejestru zabytków.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52EF">
              <w:rPr>
                <w:rFonts w:ascii="Arial" w:hAnsi="Arial" w:cs="Arial"/>
                <w:sz w:val="20"/>
                <w:szCs w:val="20"/>
              </w:rPr>
              <w:t>związku z zamieszczeniem takiego wykazu, należy wskazać wszystkie obiekty i obszary objęte ochroną konserwatorską poprzez wpis do rejestru zabytków. W związku z powyższym, ponownie należy przeanalizować zamieszczone wykazy określające zakres ochrony konserwatorskiej.</w:t>
            </w:r>
          </w:p>
        </w:tc>
        <w:tc>
          <w:tcPr>
            <w:tcW w:w="4531" w:type="dxa"/>
          </w:tcPr>
          <w:p w14:paraId="448351EC" w14:textId="77777777" w:rsidR="00520F3C" w:rsidRP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3C">
              <w:rPr>
                <w:rFonts w:ascii="Arial" w:hAnsi="Arial" w:cs="Arial"/>
                <w:sz w:val="20"/>
                <w:szCs w:val="20"/>
              </w:rPr>
              <w:t>Skorygowano wykaz obiektów zamieszczonych w Gminnej Ewidencji Zabytków Gminy Sulejów z godnie ze wskazanym zarządzeniem.</w:t>
            </w:r>
          </w:p>
          <w:p w14:paraId="5F11A464" w14:textId="77777777" w:rsidR="00520F3C" w:rsidRDefault="00520F3C" w:rsidP="00520F3C">
            <w:pPr>
              <w:spacing w:before="120"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3C">
              <w:rPr>
                <w:rFonts w:ascii="Arial" w:hAnsi="Arial" w:cs="Arial"/>
                <w:sz w:val="20"/>
                <w:szCs w:val="20"/>
              </w:rPr>
              <w:t>Uzupełniono o wykaz stanowisk archeologicznych zamieszczonych w Gminnej ewidencji zabytków Gminy Sulejów.</w:t>
            </w:r>
          </w:p>
          <w:p w14:paraId="4F8018CF" w14:textId="02385181" w:rsidR="00520F3C" w:rsidRDefault="00520F3C" w:rsidP="00520F3C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554D1">
              <w:rPr>
                <w:rFonts w:ascii="Arial" w:hAnsi="Arial" w:cs="Arial"/>
                <w:sz w:val="20"/>
                <w:szCs w:val="20"/>
              </w:rPr>
              <w:t xml:space="preserve">Jednocześnie 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Pr="00E554D1">
              <w:rPr>
                <w:rFonts w:ascii="Arial" w:hAnsi="Arial" w:cs="Arial"/>
                <w:sz w:val="20"/>
                <w:szCs w:val="20"/>
              </w:rPr>
              <w:t>inform</w:t>
            </w:r>
            <w:r>
              <w:rPr>
                <w:rFonts w:ascii="Arial" w:hAnsi="Arial" w:cs="Arial"/>
                <w:sz w:val="20"/>
                <w:szCs w:val="20"/>
              </w:rPr>
              <w:t>owano</w:t>
            </w:r>
            <w:r w:rsidRPr="00E554D1">
              <w:rPr>
                <w:rFonts w:ascii="Arial" w:hAnsi="Arial" w:cs="Arial"/>
                <w:sz w:val="20"/>
                <w:szCs w:val="20"/>
              </w:rPr>
              <w:t xml:space="preserve">, iż wprowadzone zmiany w zakresie wykazu obiektów zamieszczonych w Gminnej Ewidencji Zabytków Gminy Sulejów spowodowały wniesienie innych korekt, z uwagi na zmianę wartości wskaźnika </w:t>
            </w:r>
            <w:r>
              <w:rPr>
                <w:rFonts w:ascii="Arial" w:hAnsi="Arial" w:cs="Arial"/>
                <w:sz w:val="20"/>
                <w:szCs w:val="20"/>
              </w:rPr>
              <w:t xml:space="preserve">pn. </w:t>
            </w:r>
            <w:r w:rsidRPr="00E554D1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Pr="00E554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dział obiektów wpisanych do Gminnej Ewidencji Zabytków w ogólnej liczbie obiektów zabytkowych w Gminie Sulejów</w:t>
            </w:r>
            <w:r w:rsidRPr="00E554D1">
              <w:rPr>
                <w:rFonts w:ascii="Arial" w:hAnsi="Arial" w:cs="Arial"/>
                <w:bCs/>
                <w:sz w:val="20"/>
                <w:szCs w:val="20"/>
              </w:rPr>
              <w:t>. N</w:t>
            </w:r>
            <w:r w:rsidRPr="00E554D1">
              <w:rPr>
                <w:rFonts w:ascii="Arial" w:hAnsi="Arial" w:cs="Arial"/>
                <w:sz w:val="20"/>
                <w:szCs w:val="20"/>
              </w:rPr>
              <w:t>ie wpłynęło to na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przebieg</w:t>
            </w:r>
            <w:r w:rsidRPr="00E554D1">
              <w:rPr>
                <w:rFonts w:ascii="Arial" w:hAnsi="Arial" w:cs="Arial"/>
                <w:sz w:val="20"/>
                <w:szCs w:val="20"/>
              </w:rPr>
              <w:t xml:space="preserve"> granic obszaru zdegradowanego i obszaru rewitalizacji.</w:t>
            </w:r>
          </w:p>
        </w:tc>
      </w:tr>
    </w:tbl>
    <w:p w14:paraId="29C58E0F" w14:textId="77777777" w:rsidR="00520F3C" w:rsidRDefault="00520F3C" w:rsidP="00520F3C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113BF48" w14:textId="2CECA73B" w:rsidR="00276C0A" w:rsidRPr="00514FCE" w:rsidRDefault="00276C0A" w:rsidP="00276C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ponownego opiniowania</w:t>
      </w:r>
      <w:r w:rsidR="00431F2F">
        <w:rPr>
          <w:rFonts w:ascii="Arial" w:hAnsi="Arial" w:cs="Arial"/>
          <w:sz w:val="20"/>
          <w:szCs w:val="20"/>
        </w:rPr>
        <w:t xml:space="preserve"> Łódzki Wojewódzki Konserwator Zabytków pozytywnie zaopiniował program.</w:t>
      </w:r>
    </w:p>
    <w:p w14:paraId="099BAEE9" w14:textId="77777777" w:rsidR="00520F3C" w:rsidRDefault="00520F3C" w:rsidP="0067295C">
      <w:pPr>
        <w:jc w:val="both"/>
        <w:rPr>
          <w:rFonts w:ascii="Arial" w:hAnsi="Arial" w:cs="Arial"/>
          <w:sz w:val="20"/>
          <w:szCs w:val="20"/>
        </w:rPr>
      </w:pPr>
    </w:p>
    <w:p w14:paraId="5F0DC820" w14:textId="77777777" w:rsidR="008407B4" w:rsidRPr="00514FCE" w:rsidRDefault="008407B4" w:rsidP="0067295C">
      <w:pPr>
        <w:jc w:val="both"/>
        <w:rPr>
          <w:rFonts w:ascii="Arial" w:hAnsi="Arial" w:cs="Arial"/>
          <w:sz w:val="20"/>
          <w:szCs w:val="20"/>
        </w:rPr>
      </w:pPr>
    </w:p>
    <w:p w14:paraId="17AD46D1" w14:textId="5A66FD56" w:rsidR="008407B4" w:rsidRPr="00514FCE" w:rsidRDefault="00514FCE" w:rsidP="00514FCE">
      <w:pPr>
        <w:pStyle w:val="Akapitzlist"/>
        <w:numPr>
          <w:ilvl w:val="0"/>
          <w:numId w:val="14"/>
        </w:numPr>
        <w:jc w:val="center"/>
        <w:rPr>
          <w:rFonts w:ascii="Arial" w:hAnsi="Arial" w:cs="Arial"/>
          <w:sz w:val="20"/>
          <w:szCs w:val="20"/>
        </w:rPr>
      </w:pPr>
      <w:r w:rsidRPr="00514FCE">
        <w:rPr>
          <w:rFonts w:ascii="Arial" w:hAnsi="Arial" w:cs="Arial"/>
          <w:sz w:val="20"/>
          <w:szCs w:val="20"/>
        </w:rPr>
        <w:t>Opinia Państwowe</w:t>
      </w:r>
      <w:r w:rsidR="001825A9">
        <w:rPr>
          <w:rFonts w:ascii="Arial" w:hAnsi="Arial" w:cs="Arial"/>
          <w:sz w:val="20"/>
          <w:szCs w:val="20"/>
        </w:rPr>
        <w:t>go</w:t>
      </w:r>
      <w:r w:rsidRPr="00514FCE">
        <w:rPr>
          <w:rFonts w:ascii="Arial" w:hAnsi="Arial" w:cs="Arial"/>
          <w:sz w:val="20"/>
          <w:szCs w:val="20"/>
        </w:rPr>
        <w:t xml:space="preserve"> Gospodarstw</w:t>
      </w:r>
      <w:r w:rsidR="001825A9">
        <w:rPr>
          <w:rFonts w:ascii="Arial" w:hAnsi="Arial" w:cs="Arial"/>
          <w:sz w:val="20"/>
          <w:szCs w:val="20"/>
        </w:rPr>
        <w:t>a</w:t>
      </w:r>
      <w:r w:rsidRPr="00514FCE">
        <w:rPr>
          <w:rFonts w:ascii="Arial" w:hAnsi="Arial" w:cs="Arial"/>
          <w:sz w:val="20"/>
          <w:szCs w:val="20"/>
        </w:rPr>
        <w:t xml:space="preserve"> Wodne</w:t>
      </w:r>
      <w:r w:rsidR="001825A9">
        <w:rPr>
          <w:rFonts w:ascii="Arial" w:hAnsi="Arial" w:cs="Arial"/>
          <w:sz w:val="20"/>
          <w:szCs w:val="20"/>
        </w:rPr>
        <w:t>go</w:t>
      </w:r>
      <w:r w:rsidRPr="00514FCE">
        <w:rPr>
          <w:rFonts w:ascii="Arial" w:hAnsi="Arial" w:cs="Arial"/>
          <w:sz w:val="20"/>
          <w:szCs w:val="20"/>
        </w:rPr>
        <w:t xml:space="preserve"> Wody Polskie </w:t>
      </w:r>
      <w:r w:rsidRPr="00514FCE">
        <w:rPr>
          <w:rFonts w:ascii="Arial" w:hAnsi="Arial" w:cs="Arial"/>
          <w:sz w:val="20"/>
          <w:szCs w:val="20"/>
        </w:rPr>
        <w:br/>
        <w:t>Regionalny Zarząd Gospodarki Wodnej w Warszawie</w:t>
      </w:r>
    </w:p>
    <w:p w14:paraId="00198714" w14:textId="25B60CFC" w:rsidR="00514FCE" w:rsidRPr="00514FCE" w:rsidRDefault="00514FCE" w:rsidP="00514FC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64AFE">
        <w:rPr>
          <w:rFonts w:ascii="Arial" w:hAnsi="Arial" w:cs="Arial"/>
          <w:sz w:val="20"/>
          <w:szCs w:val="20"/>
        </w:rPr>
        <w:t>W odpowiedzi 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1562">
        <w:rPr>
          <w:rFonts w:ascii="Arial" w:hAnsi="Arial" w:cs="Arial"/>
          <w:sz w:val="20"/>
          <w:szCs w:val="20"/>
        </w:rPr>
        <w:t>pism</w:t>
      </w:r>
      <w:r>
        <w:rPr>
          <w:rFonts w:ascii="Arial" w:hAnsi="Arial" w:cs="Arial"/>
          <w:sz w:val="20"/>
          <w:szCs w:val="20"/>
        </w:rPr>
        <w:t>o</w:t>
      </w:r>
      <w:r w:rsidRPr="002B1562">
        <w:rPr>
          <w:rFonts w:ascii="Arial" w:hAnsi="Arial" w:cs="Arial"/>
          <w:sz w:val="20"/>
          <w:szCs w:val="20"/>
        </w:rPr>
        <w:t xml:space="preserve"> znak </w:t>
      </w:r>
      <w:r>
        <w:rPr>
          <w:rFonts w:ascii="Arial" w:hAnsi="Arial" w:cs="Arial"/>
          <w:sz w:val="20"/>
          <w:szCs w:val="20"/>
        </w:rPr>
        <w:t>W.RPP.610.480.2024.AS z dnia 23.12.2024 r.</w:t>
      </w:r>
      <w:r w:rsidRPr="002B1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orzekające o odmówieniu uzgodnienia </w:t>
      </w:r>
      <w:r w:rsidRPr="002B1562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u</w:t>
      </w:r>
      <w:r w:rsidRPr="002B1562">
        <w:rPr>
          <w:rFonts w:ascii="Arial" w:hAnsi="Arial" w:cs="Arial"/>
          <w:sz w:val="20"/>
          <w:szCs w:val="20"/>
        </w:rPr>
        <w:t xml:space="preserve"> Gminnego Programu Rewitalizacji </w:t>
      </w:r>
      <w:r>
        <w:rPr>
          <w:rFonts w:ascii="Arial" w:hAnsi="Arial" w:cs="Arial"/>
          <w:sz w:val="20"/>
          <w:szCs w:val="20"/>
        </w:rPr>
        <w:t>G</w:t>
      </w:r>
      <w:r w:rsidRPr="002B1562">
        <w:rPr>
          <w:rFonts w:ascii="Arial" w:hAnsi="Arial" w:cs="Arial"/>
          <w:sz w:val="20"/>
          <w:szCs w:val="20"/>
        </w:rPr>
        <w:t xml:space="preserve">miny </w:t>
      </w:r>
      <w:r>
        <w:rPr>
          <w:rFonts w:ascii="Arial" w:hAnsi="Arial" w:cs="Arial"/>
          <w:sz w:val="20"/>
          <w:szCs w:val="20"/>
        </w:rPr>
        <w:t xml:space="preserve">Sulejów, w zakresie granic podobszarów rewitalizacji położonych na obszarach szczególnego zagrożenia powodzią, Gmina Sulejów dnia </w:t>
      </w:r>
      <w:r w:rsidR="008A315A">
        <w:rPr>
          <w:rFonts w:ascii="Arial" w:hAnsi="Arial" w:cs="Arial"/>
          <w:sz w:val="20"/>
          <w:szCs w:val="20"/>
        </w:rPr>
        <w:t>09.01.2025</w:t>
      </w:r>
      <w:r>
        <w:rPr>
          <w:rFonts w:ascii="Arial" w:hAnsi="Arial" w:cs="Arial"/>
          <w:sz w:val="20"/>
          <w:szCs w:val="20"/>
        </w:rPr>
        <w:t xml:space="preserve"> przekazała poprawiony projekt GPR wraz z załącznikiem graficznym</w:t>
      </w:r>
      <w:r w:rsidR="00BF54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do ponownego uzgodnienia.</w:t>
      </w:r>
    </w:p>
    <w:p w14:paraId="6E5FB86B" w14:textId="3833B810" w:rsidR="00514FCE" w:rsidRDefault="00514FCE" w:rsidP="00514FC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decyzją oraz zawartym w niej uzasadnieniem, na załączniku graficznym przedmiotowego projektu GPR wrysowano obszary szczególnego zagrożenia powodzią o prawdopodobieństwie wystąpienia 1% oraz 10%, które są udostępnione na Biuletynie Informacji Publicznej Ministerstwa Infrastruktury w dniu 7 września 2022 r.</w:t>
      </w:r>
    </w:p>
    <w:p w14:paraId="6932DCE0" w14:textId="26C9B317" w:rsidR="00514FCE" w:rsidRDefault="00514FCE" w:rsidP="00514F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Sulejów poinformowała, iż przedsięwzięcia rewitalizacyjne nr 5 i 6 </w:t>
      </w:r>
      <w:r w:rsidRPr="001B655F">
        <w:rPr>
          <w:rFonts w:ascii="Arial" w:hAnsi="Arial" w:cs="Arial"/>
          <w:sz w:val="20"/>
          <w:szCs w:val="20"/>
        </w:rPr>
        <w:t>nie będ</w:t>
      </w:r>
      <w:r>
        <w:rPr>
          <w:rFonts w:ascii="Arial" w:hAnsi="Arial" w:cs="Arial"/>
          <w:sz w:val="20"/>
          <w:szCs w:val="20"/>
        </w:rPr>
        <w:t>ą</w:t>
      </w:r>
      <w:r w:rsidRPr="001B655F">
        <w:rPr>
          <w:rFonts w:ascii="Arial" w:hAnsi="Arial" w:cs="Arial"/>
          <w:sz w:val="20"/>
          <w:szCs w:val="20"/>
        </w:rPr>
        <w:t xml:space="preserve"> naruszać ustaleń planu zarządzania ryzykiem powodziowym czy stanowić zagrożenia dla ochrony zdrowia ludzi czy środowiska oraz utrudniać zarządzania ryzykiem powodziowym. Ponadto nie zostanie naruszony cel główny</w:t>
      </w:r>
      <w:r>
        <w:rPr>
          <w:rFonts w:ascii="Arial" w:hAnsi="Arial" w:cs="Arial"/>
          <w:sz w:val="20"/>
          <w:szCs w:val="20"/>
        </w:rPr>
        <w:t xml:space="preserve">, który </w:t>
      </w:r>
      <w:r w:rsidRPr="001B655F">
        <w:rPr>
          <w:rFonts w:ascii="Arial" w:hAnsi="Arial" w:cs="Arial"/>
          <w:sz w:val="20"/>
          <w:szCs w:val="20"/>
        </w:rPr>
        <w:t>został zidentyfikowany w Planie zarządzania ryzykiem powodziowym dla obszaru dorzecza Wisły</w:t>
      </w:r>
      <w:r>
        <w:rPr>
          <w:rFonts w:ascii="Arial" w:hAnsi="Arial" w:cs="Arial"/>
          <w:sz w:val="20"/>
          <w:szCs w:val="20"/>
        </w:rPr>
        <w:t>,</w:t>
      </w:r>
      <w:r w:rsidRPr="001B655F">
        <w:rPr>
          <w:rFonts w:ascii="Arial" w:hAnsi="Arial" w:cs="Arial"/>
          <w:sz w:val="20"/>
          <w:szCs w:val="20"/>
        </w:rPr>
        <w:t xml:space="preserve"> obejmujący zapewnienie racjonalnego gospodarowania obszarami zagrożenia powodziowego.</w:t>
      </w:r>
      <w:r>
        <w:rPr>
          <w:rFonts w:ascii="Arial" w:hAnsi="Arial" w:cs="Arial"/>
          <w:sz w:val="20"/>
          <w:szCs w:val="20"/>
        </w:rPr>
        <w:t xml:space="preserve"> Informacja ta została zawarta w opisie ww. przedsięwzięć.</w:t>
      </w:r>
    </w:p>
    <w:p w14:paraId="5F9F82C5" w14:textId="0EEB2190" w:rsidR="00514FCE" w:rsidRPr="00514FCE" w:rsidRDefault="00514FCE" w:rsidP="00672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wyniku ponownego opiniowania </w:t>
      </w:r>
      <w:r w:rsidR="008A315A">
        <w:rPr>
          <w:rFonts w:ascii="Arial" w:hAnsi="Arial" w:cs="Arial"/>
          <w:sz w:val="20"/>
          <w:szCs w:val="20"/>
        </w:rPr>
        <w:t xml:space="preserve">Państwowe Gospodarstwo Wodne Wody Polskie Regionalny Zarząd Gospodarki Wodnej w Warszawie  zaopiniowało pozytywnie program.  </w:t>
      </w:r>
    </w:p>
    <w:p w14:paraId="1AC905D3" w14:textId="77777777" w:rsidR="00514FCE" w:rsidRPr="00514FCE" w:rsidRDefault="00514FCE" w:rsidP="0067295C">
      <w:pPr>
        <w:jc w:val="both"/>
        <w:rPr>
          <w:rFonts w:ascii="Arial" w:hAnsi="Arial" w:cs="Arial"/>
          <w:sz w:val="20"/>
          <w:szCs w:val="20"/>
        </w:rPr>
      </w:pPr>
    </w:p>
    <w:p w14:paraId="3AF44E1E" w14:textId="77777777" w:rsidR="00514FCE" w:rsidRPr="00514FCE" w:rsidRDefault="00514FCE" w:rsidP="0067295C">
      <w:pPr>
        <w:jc w:val="both"/>
        <w:rPr>
          <w:rFonts w:ascii="Arial" w:hAnsi="Arial" w:cs="Arial"/>
          <w:sz w:val="20"/>
          <w:szCs w:val="20"/>
        </w:rPr>
      </w:pPr>
    </w:p>
    <w:sectPr w:rsidR="00514FCE" w:rsidRPr="00514F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C0D1" w14:textId="77777777" w:rsidR="006F5F6D" w:rsidRDefault="006F5F6D" w:rsidP="004C3408">
      <w:pPr>
        <w:spacing w:after="0" w:line="240" w:lineRule="auto"/>
      </w:pPr>
      <w:r>
        <w:separator/>
      </w:r>
    </w:p>
  </w:endnote>
  <w:endnote w:type="continuationSeparator" w:id="0">
    <w:p w14:paraId="235270BA" w14:textId="77777777" w:rsidR="006F5F6D" w:rsidRDefault="006F5F6D" w:rsidP="004C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8423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5D8040" w14:textId="5AF60524" w:rsidR="004C3408" w:rsidRDefault="004C34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403DC2" w14:textId="77777777" w:rsidR="004C3408" w:rsidRDefault="004C3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634D" w14:textId="77777777" w:rsidR="006F5F6D" w:rsidRDefault="006F5F6D" w:rsidP="004C3408">
      <w:pPr>
        <w:spacing w:after="0" w:line="240" w:lineRule="auto"/>
      </w:pPr>
      <w:r>
        <w:separator/>
      </w:r>
    </w:p>
  </w:footnote>
  <w:footnote w:type="continuationSeparator" w:id="0">
    <w:p w14:paraId="269F0430" w14:textId="77777777" w:rsidR="006F5F6D" w:rsidRDefault="006F5F6D" w:rsidP="004C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37E"/>
    <w:multiLevelType w:val="hybridMultilevel"/>
    <w:tmpl w:val="6EDE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630"/>
    <w:multiLevelType w:val="multilevel"/>
    <w:tmpl w:val="A9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91C47"/>
    <w:multiLevelType w:val="hybridMultilevel"/>
    <w:tmpl w:val="7E80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556"/>
    <w:multiLevelType w:val="multilevel"/>
    <w:tmpl w:val="BD5A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C1C0F"/>
    <w:multiLevelType w:val="hybridMultilevel"/>
    <w:tmpl w:val="4E0A5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175F"/>
    <w:multiLevelType w:val="hybridMultilevel"/>
    <w:tmpl w:val="BB7E65E2"/>
    <w:lvl w:ilvl="0" w:tplc="6D40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391B"/>
    <w:multiLevelType w:val="hybridMultilevel"/>
    <w:tmpl w:val="DA3A95AE"/>
    <w:lvl w:ilvl="0" w:tplc="BE9ACF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A095F"/>
    <w:multiLevelType w:val="hybridMultilevel"/>
    <w:tmpl w:val="681A0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35E5E"/>
    <w:multiLevelType w:val="multilevel"/>
    <w:tmpl w:val="1E8E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254D2"/>
    <w:multiLevelType w:val="hybridMultilevel"/>
    <w:tmpl w:val="6EA0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5B18"/>
    <w:multiLevelType w:val="multilevel"/>
    <w:tmpl w:val="1E8E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6022F"/>
    <w:multiLevelType w:val="hybridMultilevel"/>
    <w:tmpl w:val="3216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47382"/>
    <w:multiLevelType w:val="hybridMultilevel"/>
    <w:tmpl w:val="0A800D0C"/>
    <w:lvl w:ilvl="0" w:tplc="6D40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4127"/>
    <w:multiLevelType w:val="hybridMultilevel"/>
    <w:tmpl w:val="8DCE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87906">
    <w:abstractNumId w:val="1"/>
  </w:num>
  <w:num w:numId="2" w16cid:durableId="1968848350">
    <w:abstractNumId w:val="8"/>
  </w:num>
  <w:num w:numId="3" w16cid:durableId="1504198125">
    <w:abstractNumId w:val="13"/>
  </w:num>
  <w:num w:numId="4" w16cid:durableId="405345752">
    <w:abstractNumId w:val="4"/>
  </w:num>
  <w:num w:numId="5" w16cid:durableId="688486029">
    <w:abstractNumId w:val="9"/>
  </w:num>
  <w:num w:numId="6" w16cid:durableId="753011681">
    <w:abstractNumId w:val="12"/>
  </w:num>
  <w:num w:numId="7" w16cid:durableId="1322809705">
    <w:abstractNumId w:val="0"/>
  </w:num>
  <w:num w:numId="8" w16cid:durableId="212818502">
    <w:abstractNumId w:val="11"/>
  </w:num>
  <w:num w:numId="9" w16cid:durableId="1883403208">
    <w:abstractNumId w:val="6"/>
  </w:num>
  <w:num w:numId="10" w16cid:durableId="1445030474">
    <w:abstractNumId w:val="3"/>
  </w:num>
  <w:num w:numId="11" w16cid:durableId="1341662205">
    <w:abstractNumId w:val="7"/>
  </w:num>
  <w:num w:numId="12" w16cid:durableId="1609653642">
    <w:abstractNumId w:val="5"/>
  </w:num>
  <w:num w:numId="13" w16cid:durableId="2139835186">
    <w:abstractNumId w:val="10"/>
  </w:num>
  <w:num w:numId="14" w16cid:durableId="62373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C6"/>
    <w:rsid w:val="00012CC2"/>
    <w:rsid w:val="000608CE"/>
    <w:rsid w:val="0007635F"/>
    <w:rsid w:val="000E3E1B"/>
    <w:rsid w:val="00150327"/>
    <w:rsid w:val="00157BE7"/>
    <w:rsid w:val="001825A9"/>
    <w:rsid w:val="001C79A8"/>
    <w:rsid w:val="001F4A9E"/>
    <w:rsid w:val="00276C0A"/>
    <w:rsid w:val="00281B16"/>
    <w:rsid w:val="002A1932"/>
    <w:rsid w:val="002E180D"/>
    <w:rsid w:val="002F2D0F"/>
    <w:rsid w:val="0031441E"/>
    <w:rsid w:val="003951C6"/>
    <w:rsid w:val="003A2179"/>
    <w:rsid w:val="00431F2F"/>
    <w:rsid w:val="004C3408"/>
    <w:rsid w:val="004D5713"/>
    <w:rsid w:val="00514FCE"/>
    <w:rsid w:val="00520F3C"/>
    <w:rsid w:val="005249E9"/>
    <w:rsid w:val="00560DB1"/>
    <w:rsid w:val="00572AA4"/>
    <w:rsid w:val="005A3674"/>
    <w:rsid w:val="00654CBF"/>
    <w:rsid w:val="0067295C"/>
    <w:rsid w:val="006D7DBD"/>
    <w:rsid w:val="006F5F6D"/>
    <w:rsid w:val="00714CD4"/>
    <w:rsid w:val="00791591"/>
    <w:rsid w:val="007A44E0"/>
    <w:rsid w:val="007F3A95"/>
    <w:rsid w:val="008407B4"/>
    <w:rsid w:val="00841CA3"/>
    <w:rsid w:val="00860273"/>
    <w:rsid w:val="008A315A"/>
    <w:rsid w:val="008F6BD7"/>
    <w:rsid w:val="009C3DD2"/>
    <w:rsid w:val="00A06615"/>
    <w:rsid w:val="00A342F9"/>
    <w:rsid w:val="00B0579F"/>
    <w:rsid w:val="00B12D8A"/>
    <w:rsid w:val="00B371BE"/>
    <w:rsid w:val="00BF54A6"/>
    <w:rsid w:val="00CF02A0"/>
    <w:rsid w:val="00CF7B72"/>
    <w:rsid w:val="00DA4890"/>
    <w:rsid w:val="00E511DE"/>
    <w:rsid w:val="00E67D3A"/>
    <w:rsid w:val="00E855BF"/>
    <w:rsid w:val="00E90781"/>
    <w:rsid w:val="00EA168B"/>
    <w:rsid w:val="00EA29C4"/>
    <w:rsid w:val="00EF62DD"/>
    <w:rsid w:val="00F506DC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BC9E"/>
  <w15:chartTrackingRefBased/>
  <w15:docId w15:val="{7AB2EDE3-4ABE-4E22-BFAB-5491928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1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1591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67295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95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08"/>
  </w:style>
  <w:style w:type="paragraph" w:styleId="Stopka">
    <w:name w:val="footer"/>
    <w:basedOn w:val="Normalny"/>
    <w:link w:val="Stopka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08"/>
  </w:style>
  <w:style w:type="paragraph" w:customStyle="1" w:styleId="Normalny1">
    <w:name w:val="Normalny1"/>
    <w:rsid w:val="00520F3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7B4"/>
    <w:rPr>
      <w:b/>
      <w:bCs/>
      <w:sz w:val="20"/>
      <w:szCs w:val="20"/>
    </w:rPr>
  </w:style>
  <w:style w:type="paragraph" w:styleId="Tekstprzypisudolnego">
    <w:name w:val="footnote text"/>
    <w:aliases w:val="Podrozdział,Podrozdzia3,Footnote,Tekst przypisu1,Tekst przypisu2,Tekst przypisu3,Przypis dolny,Tekst przypisu dolnego Znak2,Tekst przypisu dolnego Znak1 Znak,Tekst przypisu dolnego Znak Znak Znak,Tekst przypisu,Fußnote"/>
    <w:basedOn w:val="Normalny"/>
    <w:link w:val="TekstprzypisudolnegoZnak"/>
    <w:uiPriority w:val="99"/>
    <w:unhideWhenUsed/>
    <w:qFormat/>
    <w:rsid w:val="00514FCE"/>
    <w:pPr>
      <w:spacing w:after="0" w:line="240" w:lineRule="auto"/>
    </w:pPr>
    <w:rPr>
      <w:rFonts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Podrozdzia3 Znak,Footnote Znak,Tekst przypisu1 Znak,Tekst przypisu2 Znak,Tekst przypisu3 Znak,Przypis dolny Znak,Tekst przypisu dolnego Znak2 Znak,Tekst przypisu dolnego Znak1 Znak Znak,Tekst przypisu Znak"/>
    <w:basedOn w:val="Domylnaczcionkaakapitu"/>
    <w:link w:val="Tekstprzypisudolnego"/>
    <w:uiPriority w:val="99"/>
    <w:qFormat/>
    <w:rsid w:val="00514FCE"/>
    <w:rPr>
      <w:rFonts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B02B-C157-4A52-A015-F4539A3D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Marta</cp:lastModifiedBy>
  <cp:revision>2</cp:revision>
  <dcterms:created xsi:type="dcterms:W3CDTF">2025-01-14T11:37:00Z</dcterms:created>
  <dcterms:modified xsi:type="dcterms:W3CDTF">2025-01-14T11:37:00Z</dcterms:modified>
</cp:coreProperties>
</file>